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5B" w:rsidRDefault="00256F5B" w:rsidP="00256F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F7A73" wp14:editId="00D95D95">
                <wp:simplePos x="0" y="0"/>
                <wp:positionH relativeFrom="column">
                  <wp:posOffset>-308610</wp:posOffset>
                </wp:positionH>
                <wp:positionV relativeFrom="paragraph">
                  <wp:posOffset>-488950</wp:posOffset>
                </wp:positionV>
                <wp:extent cx="6858000" cy="1005840"/>
                <wp:effectExtent l="19050" t="1905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5B" w:rsidRPr="00003C4D" w:rsidRDefault="00256F5B" w:rsidP="00256F5B">
                            <w:pPr>
                              <w:jc w:val="center"/>
                              <w:rPr>
                                <w:b/>
                                <w:smallCaps/>
                                <w:sz w:val="40"/>
                                <w:szCs w:val="40"/>
                              </w:rPr>
                            </w:pPr>
                            <w:r w:rsidRPr="00003C4D">
                              <w:rPr>
                                <w:b/>
                                <w:smallCaps/>
                                <w:sz w:val="40"/>
                                <w:szCs w:val="40"/>
                              </w:rPr>
                              <w:t>City Planning Commission</w:t>
                            </w:r>
                          </w:p>
                          <w:p w:rsidR="00256F5B" w:rsidRPr="00003C4D" w:rsidRDefault="00256F5B" w:rsidP="00256F5B">
                            <w:pPr>
                              <w:jc w:val="center"/>
                              <w:rPr>
                                <w:b/>
                                <w:small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40"/>
                                <w:szCs w:val="40"/>
                              </w:rPr>
                              <w:t>Meeting 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3pt;margin-top:-38.5pt;width:540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" fillcolor="silver" strokeweight="3pt">
                <v:stroke linestyle="thinThin"/>
                <v:textbox>
                  <w:txbxContent>
                    <w:p w:rsidR="00256F5B" w:rsidRPr="00003C4D" w:rsidRDefault="00256F5B" w:rsidP="00256F5B">
                      <w:pPr>
                        <w:jc w:val="center"/>
                        <w:rPr>
                          <w:b/>
                          <w:smallCaps/>
                          <w:sz w:val="40"/>
                          <w:szCs w:val="40"/>
                        </w:rPr>
                      </w:pPr>
                      <w:r w:rsidRPr="00003C4D">
                        <w:rPr>
                          <w:b/>
                          <w:smallCaps/>
                          <w:sz w:val="40"/>
                          <w:szCs w:val="40"/>
                        </w:rPr>
                        <w:t>City Planning Commission</w:t>
                      </w:r>
                    </w:p>
                    <w:p w:rsidR="00256F5B" w:rsidRPr="00003C4D" w:rsidRDefault="00256F5B" w:rsidP="00256F5B">
                      <w:pPr>
                        <w:jc w:val="center"/>
                        <w:rPr>
                          <w:b/>
                          <w:smallCap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mallCaps/>
                          <w:sz w:val="40"/>
                          <w:szCs w:val="40"/>
                        </w:rPr>
                        <w:t>Meeting Agenda</w:t>
                      </w:r>
                    </w:p>
                  </w:txbxContent>
                </v:textbox>
              </v:shape>
            </w:pict>
          </mc:Fallback>
        </mc:AlternateContent>
      </w:r>
    </w:p>
    <w:p w:rsidR="00256F5B" w:rsidRDefault="00256F5B" w:rsidP="00256F5B"/>
    <w:p w:rsidR="00256F5B" w:rsidRDefault="00256F5B" w:rsidP="00256F5B">
      <w:pPr>
        <w:spacing w:before="0"/>
      </w:pPr>
    </w:p>
    <w:p w:rsidR="00256F5B" w:rsidRPr="00C75B7A" w:rsidRDefault="00256F5B" w:rsidP="0076617D">
      <w:pPr>
        <w:spacing w:before="0"/>
        <w:ind w:left="-360"/>
      </w:pPr>
      <w:r w:rsidRPr="0076617D">
        <w:t>DATE</w:t>
      </w:r>
      <w:r w:rsidR="0076617D">
        <w:t>:</w:t>
      </w:r>
      <w:r w:rsidR="0076617D">
        <w:tab/>
      </w:r>
      <w:r>
        <w:t>Thurs</w:t>
      </w:r>
      <w:r w:rsidRPr="00953AB4">
        <w:t>day</w:t>
      </w:r>
      <w:r w:rsidRPr="00C75B7A">
        <w:t xml:space="preserve">, </w:t>
      </w:r>
      <w:r w:rsidR="00B66B19">
        <w:t xml:space="preserve">September </w:t>
      </w:r>
      <w:r w:rsidR="003328BE">
        <w:t>15</w:t>
      </w:r>
      <w:r>
        <w:t>, 201</w:t>
      </w:r>
      <w:r w:rsidR="00D635D1">
        <w:t>6</w:t>
      </w:r>
    </w:p>
    <w:p w:rsidR="00256F5B" w:rsidRPr="00C75B7A" w:rsidRDefault="00256F5B" w:rsidP="00256F5B">
      <w:pPr>
        <w:tabs>
          <w:tab w:val="left" w:pos="7988"/>
        </w:tabs>
        <w:spacing w:before="0"/>
      </w:pPr>
    </w:p>
    <w:p w:rsidR="00256F5B" w:rsidRPr="00C75B7A" w:rsidRDefault="0076617D" w:rsidP="0076617D">
      <w:pPr>
        <w:spacing w:before="0"/>
        <w:ind w:hanging="360"/>
      </w:pPr>
      <w:r>
        <w:t>TIME:</w:t>
      </w:r>
      <w:r>
        <w:tab/>
      </w:r>
      <w:r w:rsidR="00256F5B" w:rsidRPr="00C75B7A">
        <w:t>8:30</w:t>
      </w:r>
      <w:r w:rsidR="00256F5B">
        <w:t xml:space="preserve"> </w:t>
      </w:r>
      <w:r w:rsidR="00256F5B" w:rsidRPr="00C75B7A">
        <w:t>a.m.</w:t>
      </w:r>
    </w:p>
    <w:p w:rsidR="00256F5B" w:rsidRPr="00C75B7A" w:rsidRDefault="00256F5B" w:rsidP="00256F5B">
      <w:pPr>
        <w:spacing w:before="0"/>
      </w:pPr>
    </w:p>
    <w:p w:rsidR="00256F5B" w:rsidRPr="00C75B7A" w:rsidRDefault="00256F5B" w:rsidP="0076617D">
      <w:pPr>
        <w:spacing w:before="0"/>
        <w:ind w:hanging="360"/>
      </w:pPr>
      <w:r w:rsidRPr="00C75B7A">
        <w:t xml:space="preserve">PLACE:  </w:t>
      </w:r>
      <w:r w:rsidRPr="00C75B7A">
        <w:tab/>
        <w:t xml:space="preserve">City Hall Council Chambers </w:t>
      </w:r>
    </w:p>
    <w:p w:rsidR="00256F5B" w:rsidRPr="00C75B7A" w:rsidRDefault="0076617D" w:rsidP="00256F5B">
      <w:pPr>
        <w:spacing w:before="0"/>
      </w:pPr>
      <w:r>
        <w:tab/>
      </w:r>
      <w:r w:rsidR="00256F5B" w:rsidRPr="00C75B7A">
        <w:t>107 North Nevada Avenue</w:t>
      </w:r>
    </w:p>
    <w:p w:rsidR="00256F5B" w:rsidRPr="00C75B7A" w:rsidRDefault="0076617D" w:rsidP="00256F5B">
      <w:pPr>
        <w:spacing w:before="0"/>
      </w:pPr>
      <w:r>
        <w:tab/>
      </w:r>
      <w:r w:rsidR="00256F5B" w:rsidRPr="00C75B7A">
        <w:t>Colorado Springs, CO  80903</w:t>
      </w:r>
    </w:p>
    <w:p w:rsidR="00256F5B" w:rsidRPr="00C75B7A" w:rsidRDefault="00256F5B" w:rsidP="00256F5B">
      <w:pPr>
        <w:spacing w:before="0"/>
      </w:pPr>
    </w:p>
    <w:p w:rsidR="00256F5B" w:rsidRPr="00C75B7A" w:rsidRDefault="00256F5B" w:rsidP="00552CA9">
      <w:pPr>
        <w:spacing w:before="0"/>
        <w:ind w:left="720" w:right="180" w:hanging="1080"/>
        <w:rPr>
          <w:i/>
        </w:rPr>
      </w:pPr>
      <w:r w:rsidRPr="00C75B7A">
        <w:t>NOTE:</w:t>
      </w:r>
      <w:r w:rsidR="00552CA9">
        <w:tab/>
      </w:r>
      <w:r w:rsidRPr="00C75B7A">
        <w:rPr>
          <w:i/>
          <w:u w:val="single"/>
        </w:rPr>
        <w:t>ITEMS WILL NOT BE HEARD IN THE SEQUENCE LISTED BELOW.</w:t>
      </w:r>
      <w:r w:rsidRPr="00C75B7A">
        <w:rPr>
          <w:i/>
        </w:rPr>
        <w:t xml:space="preserve">  The hearing order will be finalized approximately five (5) business days prior to the hearing date and available online at: </w:t>
      </w:r>
      <w:hyperlink r:id="rId8" w:history="1">
        <w:r w:rsidRPr="00E9636C">
          <w:rPr>
            <w:rStyle w:val="Hyperlink"/>
          </w:rPr>
          <w:t>https://coloradosprings.legistar.com/Calendar.aspx</w:t>
        </w:r>
      </w:hyperlink>
      <w:r>
        <w:t xml:space="preserve"> </w:t>
      </w:r>
    </w:p>
    <w:p w:rsidR="00256F5B" w:rsidRDefault="00256F5B" w:rsidP="00552CA9">
      <w:pPr>
        <w:spacing w:before="0"/>
        <w:ind w:left="720"/>
        <w:rPr>
          <w:b/>
        </w:rPr>
      </w:pPr>
      <w:r w:rsidRPr="00C75B7A">
        <w:rPr>
          <w:i/>
        </w:rPr>
        <w:t xml:space="preserve">If you have questions, please contact the City of Colorado Springs Land Use Review Division at </w:t>
      </w:r>
      <w:r w:rsidRPr="00F20146">
        <w:rPr>
          <w:b/>
        </w:rPr>
        <w:t>(719) 385-5</w:t>
      </w:r>
      <w:r>
        <w:rPr>
          <w:b/>
        </w:rPr>
        <w:t>905</w:t>
      </w:r>
      <w:r w:rsidRPr="00F20146">
        <w:rPr>
          <w:b/>
        </w:rPr>
        <w:t xml:space="preserve"> and reference the file number listed below.</w:t>
      </w:r>
    </w:p>
    <w:tbl>
      <w:tblPr>
        <w:tblStyle w:val="TableGrid"/>
        <w:tblpPr w:leftFromText="180" w:rightFromText="180" w:vertAnchor="text" w:horzAnchor="margin" w:tblpXSpec="center" w:tblpY="355"/>
        <w:tblW w:w="10188" w:type="dxa"/>
        <w:tblLook w:val="04A0" w:firstRow="1" w:lastRow="0" w:firstColumn="1" w:lastColumn="0" w:noHBand="0" w:noVBand="1"/>
      </w:tblPr>
      <w:tblGrid>
        <w:gridCol w:w="3258"/>
        <w:gridCol w:w="6930"/>
      </w:tblGrid>
      <w:tr w:rsidR="005B607F" w:rsidRPr="00AF33C0" w:rsidTr="005F6CC6">
        <w:trPr>
          <w:trHeight w:val="2597"/>
        </w:trPr>
        <w:tc>
          <w:tcPr>
            <w:tcW w:w="3258" w:type="dxa"/>
            <w:vAlign w:val="center"/>
          </w:tcPr>
          <w:p w:rsidR="005B607F" w:rsidRPr="00AF33C0" w:rsidRDefault="005B607F" w:rsidP="005B607F">
            <w:pPr>
              <w:spacing w:before="0"/>
              <w:rPr>
                <w:b/>
                <w:bCs/>
              </w:rPr>
            </w:pPr>
            <w:r w:rsidRPr="00AF33C0">
              <w:rPr>
                <w:b/>
                <w:bCs/>
              </w:rPr>
              <w:t>FILE NOS.:</w:t>
            </w:r>
          </w:p>
          <w:p w:rsidR="004D69A5" w:rsidRPr="00AF33C0" w:rsidRDefault="004D69A5" w:rsidP="005B607F">
            <w:pPr>
              <w:spacing w:before="0"/>
              <w:rPr>
                <w:rFonts w:eastAsia="Times New Roman"/>
                <w:b/>
                <w:color w:val="000000"/>
                <w:kern w:val="2"/>
              </w:rPr>
            </w:pPr>
            <w:r w:rsidRPr="00AF33C0">
              <w:rPr>
                <w:rFonts w:eastAsia="Times New Roman"/>
                <w:b/>
                <w:color w:val="000000"/>
                <w:kern w:val="2"/>
              </w:rPr>
              <w:t xml:space="preserve">CPC </w:t>
            </w:r>
            <w:r w:rsidR="00DB66F0" w:rsidRPr="00AF33C0">
              <w:rPr>
                <w:rFonts w:eastAsia="Times New Roman"/>
                <w:b/>
                <w:color w:val="000000"/>
                <w:kern w:val="2"/>
              </w:rPr>
              <w:t>PUZ</w:t>
            </w:r>
            <w:r w:rsidRPr="00AF33C0">
              <w:rPr>
                <w:rFonts w:eastAsia="Times New Roman"/>
                <w:b/>
                <w:color w:val="000000"/>
                <w:kern w:val="2"/>
              </w:rPr>
              <w:t xml:space="preserve"> </w:t>
            </w:r>
            <w:r w:rsidR="00DB66F0" w:rsidRPr="00AF33C0">
              <w:rPr>
                <w:rFonts w:eastAsia="Times New Roman"/>
                <w:b/>
                <w:color w:val="000000"/>
                <w:kern w:val="2"/>
              </w:rPr>
              <w:t>16-00089</w:t>
            </w:r>
          </w:p>
          <w:p w:rsidR="00EC0F24" w:rsidRPr="00AF33C0" w:rsidRDefault="00EC0F24" w:rsidP="005B607F">
            <w:pPr>
              <w:spacing w:before="0"/>
              <w:rPr>
                <w:bCs/>
              </w:rPr>
            </w:pPr>
            <w:r w:rsidRPr="00AF33C0">
              <w:rPr>
                <w:bCs/>
              </w:rPr>
              <w:t>(Quasi-Judicial)</w:t>
            </w:r>
          </w:p>
          <w:p w:rsidR="00F6559E" w:rsidRPr="00AF33C0" w:rsidRDefault="00F6559E" w:rsidP="005B607F">
            <w:pPr>
              <w:spacing w:before="0"/>
              <w:rPr>
                <w:bCs/>
              </w:rPr>
            </w:pPr>
          </w:p>
          <w:p w:rsidR="001E56A0" w:rsidRPr="00AF33C0" w:rsidRDefault="001E56A0" w:rsidP="001E56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kern w:val="2"/>
              </w:rPr>
            </w:pPr>
            <w:r w:rsidRPr="00AF33C0">
              <w:rPr>
                <w:rFonts w:eastAsia="Times New Roman"/>
                <w:b/>
                <w:color w:val="000000"/>
                <w:kern w:val="2"/>
              </w:rPr>
              <w:t>CPC PU</w:t>
            </w:r>
            <w:r w:rsidR="00DB66F0" w:rsidRPr="00AF33C0">
              <w:rPr>
                <w:rFonts w:eastAsia="Times New Roman"/>
                <w:b/>
                <w:color w:val="000000"/>
                <w:kern w:val="2"/>
              </w:rPr>
              <w:t>D</w:t>
            </w:r>
            <w:r w:rsidRPr="00AF33C0">
              <w:rPr>
                <w:rFonts w:eastAsia="Times New Roman"/>
                <w:b/>
                <w:color w:val="000000"/>
                <w:kern w:val="2"/>
              </w:rPr>
              <w:t xml:space="preserve"> 16</w:t>
            </w:r>
            <w:r w:rsidRPr="00AF33C0">
              <w:rPr>
                <w:rFonts w:eastAsia="Times New Roman"/>
                <w:b/>
                <w:color w:val="000000"/>
                <w:kern w:val="2"/>
              </w:rPr>
              <w:noBreakHyphen/>
              <w:t>000</w:t>
            </w:r>
            <w:r w:rsidR="00DB66F0" w:rsidRPr="00AF33C0">
              <w:rPr>
                <w:rFonts w:eastAsia="Times New Roman"/>
                <w:b/>
                <w:color w:val="000000"/>
                <w:kern w:val="2"/>
              </w:rPr>
              <w:t>90</w:t>
            </w:r>
          </w:p>
          <w:p w:rsidR="005F7DEC" w:rsidRPr="00AF33C0" w:rsidRDefault="005F7DEC" w:rsidP="005F7DEC">
            <w:pPr>
              <w:spacing w:before="0"/>
              <w:rPr>
                <w:bCs/>
              </w:rPr>
            </w:pPr>
            <w:r w:rsidRPr="00AF33C0">
              <w:rPr>
                <w:bCs/>
              </w:rPr>
              <w:t>(Quasi-Judicial)</w:t>
            </w:r>
          </w:p>
          <w:p w:rsidR="00EC0F24" w:rsidRPr="00AF33C0" w:rsidRDefault="00EC0F24" w:rsidP="005B607F">
            <w:pPr>
              <w:spacing w:before="0"/>
              <w:rPr>
                <w:b/>
                <w:bCs/>
              </w:rPr>
            </w:pPr>
          </w:p>
          <w:p w:rsidR="005B607F" w:rsidRPr="00AF33C0" w:rsidRDefault="005B607F" w:rsidP="005B607F">
            <w:pPr>
              <w:rPr>
                <w:b/>
                <w:bCs/>
              </w:rPr>
            </w:pPr>
            <w:r w:rsidRPr="00AF33C0">
              <w:rPr>
                <w:b/>
                <w:bCs/>
              </w:rPr>
              <w:t>PLANNER:</w:t>
            </w:r>
          </w:p>
          <w:p w:rsidR="005B607F" w:rsidRPr="00AF33C0" w:rsidRDefault="005F7DEC" w:rsidP="005B607F">
            <w:pPr>
              <w:spacing w:before="0"/>
            </w:pPr>
            <w:r w:rsidRPr="00AF33C0">
              <w:t>Katie Carleo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EA4C58" w:rsidRPr="00AF33C0" w:rsidRDefault="00863D5D" w:rsidP="004D69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2"/>
              </w:rPr>
            </w:pPr>
            <w:r>
              <w:rPr>
                <w:rFonts w:eastAsia="Times New Roman"/>
                <w:color w:val="000000"/>
                <w:kern w:val="2"/>
              </w:rPr>
              <w:t>A r</w:t>
            </w:r>
            <w:r w:rsidR="004D69A5" w:rsidRPr="00AF33C0">
              <w:rPr>
                <w:rFonts w:eastAsia="Times New Roman"/>
                <w:color w:val="000000"/>
                <w:kern w:val="2"/>
              </w:rPr>
              <w:t xml:space="preserve">equest by NES </w:t>
            </w:r>
            <w:proofErr w:type="spellStart"/>
            <w:r w:rsidR="004D69A5" w:rsidRPr="00AF33C0">
              <w:rPr>
                <w:rFonts w:eastAsia="Times New Roman"/>
                <w:color w:val="000000"/>
                <w:kern w:val="2"/>
              </w:rPr>
              <w:t>Inc</w:t>
            </w:r>
            <w:proofErr w:type="spellEnd"/>
            <w:r w:rsidR="004D69A5" w:rsidRPr="00AF33C0">
              <w:rPr>
                <w:rFonts w:eastAsia="Times New Roman"/>
                <w:color w:val="000000"/>
                <w:kern w:val="2"/>
              </w:rPr>
              <w:t xml:space="preserve">, on behalf of Pulpit Rock Investments, </w:t>
            </w:r>
          </w:p>
          <w:p w:rsidR="00B8222E" w:rsidRPr="00AF33C0" w:rsidRDefault="00DB66F0" w:rsidP="00FA55BF">
            <w:pPr>
              <w:pStyle w:val="ListParagraph"/>
              <w:numPr>
                <w:ilvl w:val="0"/>
                <w:numId w:val="42"/>
              </w:numPr>
            </w:pPr>
            <w:r w:rsidRPr="00AF33C0">
              <w:t>A zone change from A (agriculture) to PUD (Planned Unit Development, single-family residential, 3.49 DU/A</w:t>
            </w:r>
            <w:r w:rsidR="00974BB0">
              <w:t xml:space="preserve">C, 35-foot max building height) </w:t>
            </w:r>
            <w:r w:rsidR="00974BB0" w:rsidRPr="00974BB0">
              <w:rPr>
                <w:szCs w:val="24"/>
              </w:rPr>
              <w:t>located southwest of Woodruff Drive and Wattle Creek Road, and consists of 15.15 acres.</w:t>
            </w:r>
          </w:p>
          <w:p w:rsidR="00DB66F0" w:rsidRPr="00AF33C0" w:rsidRDefault="00DB66F0" w:rsidP="00FA55BF">
            <w:pPr>
              <w:pStyle w:val="ListParagraph"/>
            </w:pPr>
          </w:p>
          <w:p w:rsidR="00FA55BF" w:rsidRPr="00974BB0" w:rsidRDefault="00DB66F0" w:rsidP="00FA55B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AF33C0">
              <w:t>A development plan for the new Torino at Flying Horse allowing development of 53 residential lots as part of the Flying Horse Master Plan.</w:t>
            </w:r>
            <w:r w:rsidR="00305A3E" w:rsidRPr="00FA55BF">
              <w:rPr>
                <w:color w:val="000000"/>
              </w:rPr>
              <w:t xml:space="preserve"> </w:t>
            </w:r>
          </w:p>
        </w:tc>
      </w:tr>
      <w:tr w:rsidR="00D338FB" w:rsidRPr="00AF33C0" w:rsidTr="005F6CC6">
        <w:trPr>
          <w:trHeight w:val="3320"/>
        </w:trPr>
        <w:tc>
          <w:tcPr>
            <w:tcW w:w="3258" w:type="dxa"/>
            <w:vAlign w:val="center"/>
          </w:tcPr>
          <w:p w:rsidR="00D338FB" w:rsidRPr="00AF33C0" w:rsidRDefault="00D338FB" w:rsidP="00D338FB">
            <w:pPr>
              <w:spacing w:before="0"/>
              <w:rPr>
                <w:b/>
                <w:bCs/>
              </w:rPr>
            </w:pPr>
            <w:r w:rsidRPr="00AF33C0">
              <w:rPr>
                <w:b/>
                <w:bCs/>
              </w:rPr>
              <w:t>FILE NOS.:</w:t>
            </w:r>
          </w:p>
          <w:p w:rsidR="00D338FB" w:rsidRPr="00AF33C0" w:rsidRDefault="00D338FB" w:rsidP="00D338FB">
            <w:pPr>
              <w:spacing w:before="0"/>
              <w:rPr>
                <w:b/>
                <w:bCs/>
              </w:rPr>
            </w:pPr>
            <w:r w:rsidRPr="00AF33C0">
              <w:rPr>
                <w:b/>
                <w:bCs/>
              </w:rPr>
              <w:t>CPC PUZ 16-00084</w:t>
            </w:r>
          </w:p>
          <w:p w:rsidR="00D338FB" w:rsidRPr="00AF33C0" w:rsidRDefault="00D338FB" w:rsidP="00D338FB">
            <w:pPr>
              <w:spacing w:before="0"/>
              <w:rPr>
                <w:bCs/>
              </w:rPr>
            </w:pPr>
            <w:r w:rsidRPr="00AF33C0">
              <w:rPr>
                <w:bCs/>
              </w:rPr>
              <w:t>(Quasi-Judicial)</w:t>
            </w:r>
          </w:p>
          <w:p w:rsidR="00D338FB" w:rsidRPr="00AF33C0" w:rsidRDefault="00D338FB" w:rsidP="00D338FB">
            <w:pPr>
              <w:spacing w:before="0"/>
              <w:rPr>
                <w:b/>
                <w:bCs/>
              </w:rPr>
            </w:pPr>
          </w:p>
          <w:p w:rsidR="00D338FB" w:rsidRPr="00AF33C0" w:rsidRDefault="00D338FB" w:rsidP="00D338FB">
            <w:pPr>
              <w:spacing w:before="0"/>
              <w:rPr>
                <w:b/>
                <w:bCs/>
              </w:rPr>
            </w:pPr>
          </w:p>
          <w:p w:rsidR="00D338FB" w:rsidRPr="00AF33C0" w:rsidRDefault="00D338FB" w:rsidP="00D338FB">
            <w:pPr>
              <w:spacing w:before="0"/>
              <w:rPr>
                <w:b/>
                <w:bCs/>
              </w:rPr>
            </w:pPr>
          </w:p>
          <w:p w:rsidR="00D338FB" w:rsidRPr="00AF33C0" w:rsidRDefault="00D338FB" w:rsidP="00D338FB">
            <w:pPr>
              <w:spacing w:before="0"/>
              <w:rPr>
                <w:b/>
                <w:bCs/>
              </w:rPr>
            </w:pPr>
          </w:p>
          <w:p w:rsidR="00D338FB" w:rsidRPr="00AF33C0" w:rsidRDefault="00D338FB" w:rsidP="00D338FB">
            <w:pPr>
              <w:spacing w:before="0"/>
              <w:rPr>
                <w:b/>
                <w:bCs/>
              </w:rPr>
            </w:pPr>
            <w:r w:rsidRPr="00AF33C0">
              <w:rPr>
                <w:b/>
                <w:bCs/>
              </w:rPr>
              <w:t>CPC PUD 16-00085</w:t>
            </w:r>
          </w:p>
          <w:p w:rsidR="00D338FB" w:rsidRPr="00AF33C0" w:rsidRDefault="00D338FB" w:rsidP="00D338FB">
            <w:pPr>
              <w:spacing w:before="0"/>
              <w:rPr>
                <w:bCs/>
              </w:rPr>
            </w:pPr>
            <w:r w:rsidRPr="00AF33C0">
              <w:rPr>
                <w:bCs/>
              </w:rPr>
              <w:t>(Quasi-Judicial)</w:t>
            </w:r>
          </w:p>
          <w:p w:rsidR="00D338FB" w:rsidRPr="00AF33C0" w:rsidRDefault="00D338FB" w:rsidP="00D338FB">
            <w:pPr>
              <w:rPr>
                <w:b/>
                <w:bCs/>
              </w:rPr>
            </w:pPr>
          </w:p>
          <w:p w:rsidR="00D338FB" w:rsidRPr="00AF33C0" w:rsidRDefault="00D338FB" w:rsidP="00D338FB">
            <w:pPr>
              <w:rPr>
                <w:b/>
                <w:bCs/>
              </w:rPr>
            </w:pPr>
            <w:r w:rsidRPr="00AF33C0">
              <w:rPr>
                <w:b/>
                <w:bCs/>
              </w:rPr>
              <w:t>PLANNER:</w:t>
            </w:r>
          </w:p>
          <w:p w:rsidR="00D338FB" w:rsidRPr="00AF33C0" w:rsidRDefault="00D338FB" w:rsidP="00D338FB">
            <w:pPr>
              <w:spacing w:before="0"/>
              <w:rPr>
                <w:b/>
              </w:rPr>
            </w:pPr>
            <w:r w:rsidRPr="00AF33C0">
              <w:t>Katie Carleo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D338FB" w:rsidRPr="00AF33C0" w:rsidRDefault="00863D5D" w:rsidP="00D338FB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color w:val="000000"/>
                <w:kern w:val="2"/>
              </w:rPr>
              <w:t>A re</w:t>
            </w:r>
            <w:r w:rsidR="00D338FB" w:rsidRPr="00AF33C0">
              <w:rPr>
                <w:rFonts w:eastAsia="Times New Roman"/>
                <w:color w:val="000000"/>
                <w:kern w:val="2"/>
              </w:rPr>
              <w:t xml:space="preserve">quest by NES </w:t>
            </w:r>
            <w:proofErr w:type="spellStart"/>
            <w:r w:rsidR="00D338FB" w:rsidRPr="00AF33C0">
              <w:rPr>
                <w:rFonts w:eastAsia="Times New Roman"/>
                <w:color w:val="000000"/>
                <w:kern w:val="2"/>
              </w:rPr>
              <w:t>Inc</w:t>
            </w:r>
            <w:proofErr w:type="spellEnd"/>
            <w:r w:rsidR="00D338FB" w:rsidRPr="00AF33C0">
              <w:rPr>
                <w:rFonts w:eastAsia="Times New Roman"/>
                <w:color w:val="000000"/>
                <w:kern w:val="2"/>
              </w:rPr>
              <w:t>, on behalf of Pulpit Rock Investments,</w:t>
            </w:r>
          </w:p>
          <w:p w:rsidR="00D338FB" w:rsidRPr="00AF33C0" w:rsidRDefault="005F6CC6" w:rsidP="00FA55BF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A </w:t>
            </w:r>
            <w:r w:rsidRPr="00AF33C0">
              <w:t>zone</w:t>
            </w:r>
            <w:r w:rsidR="00D338FB" w:rsidRPr="00AF33C0">
              <w:t xml:space="preserve"> change from A (Agriculture) to PUD (Planned Unit Development; single-family residential, 1.16</w:t>
            </w:r>
            <w:r w:rsidR="00FA55BF">
              <w:t xml:space="preserve"> </w:t>
            </w:r>
            <w:r w:rsidR="00D338FB" w:rsidRPr="00AF33C0">
              <w:t>DU/AC, 35-foot max building height)</w:t>
            </w:r>
            <w:r w:rsidR="00974BB0" w:rsidRPr="002B6536">
              <w:rPr>
                <w:sz w:val="24"/>
                <w:szCs w:val="24"/>
              </w:rPr>
              <w:t xml:space="preserve"> </w:t>
            </w:r>
            <w:r w:rsidR="00974BB0" w:rsidRPr="00974BB0">
              <w:rPr>
                <w:szCs w:val="24"/>
              </w:rPr>
              <w:t>located east of Old North Gate Road and Pride Mountain Drive, and consists of 10.34 acres.</w:t>
            </w:r>
          </w:p>
          <w:p w:rsidR="00D338FB" w:rsidRPr="00AF33C0" w:rsidRDefault="00D338FB" w:rsidP="00FA55BF">
            <w:pPr>
              <w:pStyle w:val="ListParagraph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A55BF" w:rsidRPr="00974BB0" w:rsidRDefault="00D338FB" w:rsidP="00FA55BF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AF33C0">
              <w:t>A development plan of the new Madonie at Flying Horse.  The development plan would allow for 12 single-family residential lots ranging in size from 16,000 sq. ft. to 37,000 sq. ft. This existing Parcel No. 16 in the Flying Horse Master Plan is designated for 0-1.99 dwelling units per acre which is being maintained with the large residential lots.</w:t>
            </w:r>
            <w:r w:rsidR="00AF33C0" w:rsidRPr="00FA55BF">
              <w:rPr>
                <w:color w:val="000000"/>
              </w:rPr>
              <w:t xml:space="preserve"> </w:t>
            </w:r>
          </w:p>
        </w:tc>
      </w:tr>
      <w:tr w:rsidR="002C252D" w:rsidRPr="00AF33C0" w:rsidTr="005F6CC6">
        <w:trPr>
          <w:trHeight w:val="1880"/>
        </w:trPr>
        <w:tc>
          <w:tcPr>
            <w:tcW w:w="3258" w:type="dxa"/>
            <w:vAlign w:val="center"/>
          </w:tcPr>
          <w:p w:rsidR="00305A3E" w:rsidRPr="00AF33C0" w:rsidRDefault="002C252D" w:rsidP="00305A3E">
            <w:pPr>
              <w:spacing w:before="0"/>
              <w:rPr>
                <w:b/>
              </w:rPr>
            </w:pPr>
            <w:r w:rsidRPr="00AF33C0">
              <w:rPr>
                <w:b/>
              </w:rPr>
              <w:t>FILE NO.S:</w:t>
            </w:r>
          </w:p>
          <w:p w:rsidR="001E56A0" w:rsidRPr="00AF33C0" w:rsidRDefault="001E56A0" w:rsidP="00305A3E">
            <w:pPr>
              <w:spacing w:before="0"/>
              <w:rPr>
                <w:rFonts w:eastAsia="Times New Roman"/>
                <w:b/>
                <w:color w:val="000000"/>
                <w:kern w:val="2"/>
              </w:rPr>
            </w:pPr>
            <w:r w:rsidRPr="00AF33C0">
              <w:rPr>
                <w:rFonts w:eastAsia="Times New Roman"/>
                <w:b/>
                <w:color w:val="000000"/>
                <w:kern w:val="2"/>
              </w:rPr>
              <w:t xml:space="preserve">CPC </w:t>
            </w:r>
            <w:r w:rsidR="00DB66F0" w:rsidRPr="00AF33C0">
              <w:rPr>
                <w:rFonts w:eastAsia="Times New Roman"/>
                <w:b/>
                <w:color w:val="000000"/>
                <w:kern w:val="2"/>
              </w:rPr>
              <w:t>CU</w:t>
            </w:r>
            <w:r w:rsidRPr="00AF33C0">
              <w:rPr>
                <w:rFonts w:eastAsia="Times New Roman"/>
                <w:b/>
                <w:color w:val="000000"/>
                <w:kern w:val="2"/>
              </w:rPr>
              <w:t xml:space="preserve"> 16</w:t>
            </w:r>
            <w:r w:rsidRPr="00AF33C0">
              <w:rPr>
                <w:rFonts w:eastAsia="Times New Roman"/>
                <w:b/>
                <w:color w:val="000000"/>
                <w:kern w:val="2"/>
              </w:rPr>
              <w:noBreakHyphen/>
              <w:t>000</w:t>
            </w:r>
            <w:r w:rsidR="005A302E" w:rsidRPr="00AF33C0">
              <w:rPr>
                <w:rFonts w:eastAsia="Times New Roman"/>
                <w:b/>
                <w:color w:val="000000"/>
                <w:kern w:val="2"/>
              </w:rPr>
              <w:t>88</w:t>
            </w:r>
          </w:p>
          <w:p w:rsidR="005F7DEC" w:rsidRPr="00AF33C0" w:rsidRDefault="005F7DEC" w:rsidP="002C252D">
            <w:pPr>
              <w:spacing w:before="0"/>
              <w:rPr>
                <w:bCs/>
              </w:rPr>
            </w:pPr>
            <w:r w:rsidRPr="00AF33C0">
              <w:rPr>
                <w:bCs/>
              </w:rPr>
              <w:t>(Quasi-Judicial)</w:t>
            </w:r>
          </w:p>
          <w:p w:rsidR="005F7DEC" w:rsidRPr="00AF33C0" w:rsidRDefault="005F7DEC" w:rsidP="002C252D">
            <w:pPr>
              <w:spacing w:before="0"/>
              <w:rPr>
                <w:bCs/>
              </w:rPr>
            </w:pPr>
          </w:p>
          <w:p w:rsidR="005F7DEC" w:rsidRPr="00AF33C0" w:rsidRDefault="005F7DEC" w:rsidP="002C252D">
            <w:pPr>
              <w:spacing w:before="0"/>
              <w:rPr>
                <w:b/>
              </w:rPr>
            </w:pPr>
          </w:p>
          <w:p w:rsidR="002C252D" w:rsidRPr="00AF33C0" w:rsidRDefault="002C252D" w:rsidP="002C252D">
            <w:pPr>
              <w:spacing w:before="0"/>
              <w:rPr>
                <w:b/>
              </w:rPr>
            </w:pPr>
            <w:r w:rsidRPr="00AF33C0">
              <w:rPr>
                <w:b/>
              </w:rPr>
              <w:t>PLANNER:</w:t>
            </w:r>
          </w:p>
          <w:p w:rsidR="002C252D" w:rsidRPr="00AF33C0" w:rsidRDefault="005F7DEC" w:rsidP="005A302E">
            <w:pPr>
              <w:spacing w:before="0"/>
            </w:pPr>
            <w:r w:rsidRPr="00AF33C0">
              <w:t xml:space="preserve">Michael </w:t>
            </w:r>
            <w:r w:rsidR="005A302E" w:rsidRPr="00AF33C0">
              <w:t>Turisk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D93996" w:rsidRDefault="00863D5D" w:rsidP="00863D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2"/>
              </w:rPr>
            </w:pPr>
            <w:r>
              <w:rPr>
                <w:rFonts w:eastAsia="Times New Roman"/>
                <w:color w:val="000000"/>
                <w:kern w:val="2"/>
              </w:rPr>
              <w:t>A r</w:t>
            </w:r>
            <w:r w:rsidR="001E56A0" w:rsidRPr="00AF33C0">
              <w:rPr>
                <w:rFonts w:eastAsia="Times New Roman"/>
                <w:color w:val="000000"/>
                <w:kern w:val="2"/>
              </w:rPr>
              <w:t xml:space="preserve">equest </w:t>
            </w:r>
            <w:r w:rsidR="005A302E" w:rsidRPr="00AF33C0">
              <w:rPr>
                <w:rFonts w:eastAsia="Times New Roman"/>
                <w:color w:val="000000"/>
                <w:kern w:val="2"/>
              </w:rPr>
              <w:t>by M</w:t>
            </w:r>
            <w:r w:rsidR="00912CE4" w:rsidRPr="00AF33C0">
              <w:rPr>
                <w:rFonts w:eastAsia="Times New Roman"/>
                <w:color w:val="000000"/>
                <w:kern w:val="2"/>
              </w:rPr>
              <w:t>onument Valley Engineers</w:t>
            </w:r>
            <w:r w:rsidR="005A302E" w:rsidRPr="00AF33C0">
              <w:rPr>
                <w:rFonts w:eastAsia="Times New Roman"/>
                <w:color w:val="000000"/>
                <w:kern w:val="2"/>
              </w:rPr>
              <w:t xml:space="preserve">, Inc. on </w:t>
            </w:r>
            <w:r w:rsidR="001E56A0" w:rsidRPr="00AF33C0">
              <w:rPr>
                <w:rFonts w:eastAsia="Times New Roman"/>
                <w:color w:val="000000"/>
                <w:kern w:val="2"/>
              </w:rPr>
              <w:t xml:space="preserve">behalf of </w:t>
            </w:r>
            <w:r w:rsidR="005A302E" w:rsidRPr="00AF33C0">
              <w:rPr>
                <w:rFonts w:eastAsia="Times New Roman"/>
                <w:color w:val="000000"/>
                <w:kern w:val="2"/>
              </w:rPr>
              <w:t>Resnik Soccer Field, LLC</w:t>
            </w:r>
            <w:r w:rsidR="001E56A0" w:rsidRPr="00AF33C0">
              <w:rPr>
                <w:rFonts w:eastAsia="Times New Roman"/>
                <w:color w:val="000000"/>
                <w:kern w:val="2"/>
              </w:rPr>
              <w:t xml:space="preserve"> </w:t>
            </w:r>
          </w:p>
          <w:p w:rsidR="001E56A0" w:rsidRPr="00D93996" w:rsidRDefault="00D93996" w:rsidP="00D93996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Times New Roman"/>
                <w:color w:val="000000"/>
                <w:kern w:val="2"/>
              </w:rPr>
              <w:t>A</w:t>
            </w:r>
            <w:r w:rsidR="005A302E" w:rsidRPr="00D93996">
              <w:rPr>
                <w:rFonts w:eastAsia="Times New Roman"/>
                <w:color w:val="000000"/>
                <w:kern w:val="2"/>
              </w:rPr>
              <w:t xml:space="preserve"> </w:t>
            </w:r>
            <w:r>
              <w:rPr>
                <w:rFonts w:eastAsia="Times New Roman"/>
                <w:color w:val="000000"/>
                <w:kern w:val="2"/>
              </w:rPr>
              <w:t>c</w:t>
            </w:r>
            <w:r w:rsidR="005A302E" w:rsidRPr="00D93996">
              <w:rPr>
                <w:rFonts w:eastAsia="Times New Roman"/>
                <w:color w:val="000000"/>
                <w:kern w:val="2"/>
              </w:rPr>
              <w:t xml:space="preserve">onditional </w:t>
            </w:r>
            <w:r>
              <w:rPr>
                <w:rFonts w:eastAsia="Times New Roman"/>
                <w:color w:val="000000"/>
                <w:kern w:val="2"/>
              </w:rPr>
              <w:t>u</w:t>
            </w:r>
            <w:r w:rsidR="005A302E" w:rsidRPr="00D93996">
              <w:rPr>
                <w:rFonts w:eastAsia="Times New Roman"/>
                <w:color w:val="000000"/>
                <w:kern w:val="2"/>
              </w:rPr>
              <w:t xml:space="preserve">se </w:t>
            </w:r>
            <w:r>
              <w:rPr>
                <w:rFonts w:eastAsia="Times New Roman"/>
                <w:color w:val="000000"/>
                <w:kern w:val="2"/>
              </w:rPr>
              <w:t>d</w:t>
            </w:r>
            <w:r w:rsidR="005A302E" w:rsidRPr="00D93996">
              <w:rPr>
                <w:rFonts w:eastAsia="Times New Roman"/>
                <w:color w:val="000000"/>
                <w:kern w:val="2"/>
              </w:rPr>
              <w:t xml:space="preserve">evelopment </w:t>
            </w:r>
            <w:r>
              <w:rPr>
                <w:rFonts w:eastAsia="Times New Roman"/>
                <w:color w:val="000000"/>
                <w:kern w:val="2"/>
              </w:rPr>
              <w:t>p</w:t>
            </w:r>
            <w:r w:rsidR="005A302E" w:rsidRPr="00D93996">
              <w:rPr>
                <w:rFonts w:eastAsia="Times New Roman"/>
                <w:color w:val="000000"/>
                <w:kern w:val="2"/>
              </w:rPr>
              <w:t>lan to establish grassed practice soccer fields</w:t>
            </w:r>
            <w:r w:rsidR="00912CE4" w:rsidRPr="00D93996">
              <w:rPr>
                <w:rFonts w:eastAsia="Times New Roman"/>
                <w:color w:val="000000"/>
                <w:kern w:val="2"/>
              </w:rPr>
              <w:t xml:space="preserve"> on a 10-acre property</w:t>
            </w:r>
            <w:r w:rsidR="005A302E" w:rsidRPr="00D93996">
              <w:rPr>
                <w:rFonts w:eastAsia="Times New Roman"/>
                <w:color w:val="000000"/>
                <w:kern w:val="2"/>
              </w:rPr>
              <w:t xml:space="preserve"> </w:t>
            </w:r>
            <w:r w:rsidR="00912CE4" w:rsidRPr="00D93996">
              <w:rPr>
                <w:rFonts w:eastAsia="Times New Roman"/>
                <w:color w:val="000000"/>
                <w:kern w:val="2"/>
              </w:rPr>
              <w:t>at 0</w:t>
            </w:r>
            <w:r w:rsidR="00305A3E" w:rsidRPr="00D93996">
              <w:rPr>
                <w:rFonts w:eastAsia="Times New Roman"/>
                <w:color w:val="000000"/>
                <w:kern w:val="2"/>
              </w:rPr>
              <w:t xml:space="preserve"> Resnik Dr.</w:t>
            </w:r>
            <w:r>
              <w:rPr>
                <w:rFonts w:eastAsia="Times New Roman"/>
                <w:color w:val="000000"/>
                <w:kern w:val="2"/>
              </w:rPr>
              <w:t xml:space="preserve"> that is zoned </w:t>
            </w:r>
            <w:r w:rsidR="00305A3E" w:rsidRPr="00D93996">
              <w:rPr>
                <w:rFonts w:eastAsia="Times New Roman"/>
                <w:color w:val="000000"/>
                <w:kern w:val="2"/>
              </w:rPr>
              <w:t>PIP-2</w:t>
            </w:r>
            <w:r w:rsidR="00912CE4" w:rsidRPr="00D93996">
              <w:rPr>
                <w:rFonts w:eastAsia="Times New Roman"/>
                <w:color w:val="000000"/>
                <w:kern w:val="2"/>
              </w:rPr>
              <w:t>/AO (Planned Industrial Park with Airport Overlay), located just to the north of the Sky View Sports Complex.</w:t>
            </w:r>
          </w:p>
        </w:tc>
      </w:tr>
      <w:tr w:rsidR="0030452F" w:rsidRPr="00AF33C0" w:rsidTr="008D08C3">
        <w:trPr>
          <w:trHeight w:val="2600"/>
        </w:trPr>
        <w:tc>
          <w:tcPr>
            <w:tcW w:w="3258" w:type="dxa"/>
            <w:vAlign w:val="center"/>
          </w:tcPr>
          <w:p w:rsidR="00305A3E" w:rsidRPr="00AF33C0" w:rsidRDefault="0030452F" w:rsidP="00305A3E">
            <w:pPr>
              <w:spacing w:before="0"/>
              <w:rPr>
                <w:b/>
              </w:rPr>
            </w:pPr>
            <w:r w:rsidRPr="00AF33C0">
              <w:rPr>
                <w:b/>
              </w:rPr>
              <w:lastRenderedPageBreak/>
              <w:t>FILE NO.S:</w:t>
            </w:r>
          </w:p>
          <w:p w:rsidR="001E56A0" w:rsidRPr="00AF33C0" w:rsidRDefault="001E56A0" w:rsidP="00305A3E">
            <w:pPr>
              <w:spacing w:before="0"/>
              <w:rPr>
                <w:rFonts w:eastAsia="Times New Roman"/>
                <w:b/>
                <w:color w:val="000000"/>
                <w:kern w:val="2"/>
              </w:rPr>
            </w:pPr>
            <w:r w:rsidRPr="00AF33C0">
              <w:rPr>
                <w:rFonts w:eastAsia="Times New Roman"/>
                <w:b/>
                <w:color w:val="000000"/>
                <w:kern w:val="2"/>
              </w:rPr>
              <w:t xml:space="preserve">CPC </w:t>
            </w:r>
            <w:r w:rsidR="002C42B7" w:rsidRPr="00AF33C0">
              <w:rPr>
                <w:rFonts w:eastAsia="Times New Roman"/>
                <w:b/>
                <w:color w:val="000000"/>
                <w:kern w:val="2"/>
              </w:rPr>
              <w:t>CM1</w:t>
            </w:r>
            <w:r w:rsidRPr="00AF33C0">
              <w:rPr>
                <w:rFonts w:eastAsia="Times New Roman"/>
                <w:b/>
                <w:color w:val="000000"/>
                <w:kern w:val="2"/>
              </w:rPr>
              <w:t xml:space="preserve"> 16</w:t>
            </w:r>
            <w:r w:rsidRPr="00AF33C0">
              <w:rPr>
                <w:rFonts w:eastAsia="Times New Roman"/>
                <w:b/>
                <w:color w:val="000000"/>
                <w:kern w:val="2"/>
              </w:rPr>
              <w:noBreakHyphen/>
              <w:t>000</w:t>
            </w:r>
            <w:r w:rsidR="002C42B7" w:rsidRPr="00AF33C0">
              <w:rPr>
                <w:rFonts w:eastAsia="Times New Roman"/>
                <w:b/>
                <w:color w:val="000000"/>
                <w:kern w:val="2"/>
              </w:rPr>
              <w:t>70</w:t>
            </w:r>
          </w:p>
          <w:p w:rsidR="005F7DEC" w:rsidRPr="00AF33C0" w:rsidRDefault="005F7DEC" w:rsidP="0030452F">
            <w:pPr>
              <w:spacing w:before="0"/>
              <w:rPr>
                <w:bCs/>
              </w:rPr>
            </w:pPr>
            <w:r w:rsidRPr="00AF33C0">
              <w:rPr>
                <w:bCs/>
              </w:rPr>
              <w:t>(Quasi-Judicial)</w:t>
            </w:r>
          </w:p>
          <w:p w:rsidR="005F7DEC" w:rsidRPr="00AF33C0" w:rsidRDefault="005F7DEC" w:rsidP="0030452F">
            <w:pPr>
              <w:spacing w:before="0"/>
              <w:rPr>
                <w:b/>
              </w:rPr>
            </w:pPr>
          </w:p>
          <w:p w:rsidR="00305A3E" w:rsidRDefault="00305A3E" w:rsidP="0030452F">
            <w:pPr>
              <w:spacing w:before="0"/>
              <w:rPr>
                <w:b/>
              </w:rPr>
            </w:pPr>
          </w:p>
          <w:p w:rsidR="008D08C3" w:rsidRPr="00AF33C0" w:rsidRDefault="008D08C3" w:rsidP="0030452F">
            <w:pPr>
              <w:spacing w:before="0"/>
              <w:rPr>
                <w:b/>
              </w:rPr>
            </w:pPr>
            <w:bookmarkStart w:id="0" w:name="_GoBack"/>
            <w:bookmarkEnd w:id="0"/>
          </w:p>
          <w:p w:rsidR="0030452F" w:rsidRPr="00AF33C0" w:rsidRDefault="0030452F" w:rsidP="0030452F">
            <w:pPr>
              <w:spacing w:before="0"/>
              <w:rPr>
                <w:b/>
              </w:rPr>
            </w:pPr>
            <w:r w:rsidRPr="00AF33C0">
              <w:rPr>
                <w:b/>
              </w:rPr>
              <w:t>PLANNER:</w:t>
            </w:r>
          </w:p>
          <w:p w:rsidR="0030452F" w:rsidRPr="00AF33C0" w:rsidRDefault="002C42B7" w:rsidP="002C42B7">
            <w:pPr>
              <w:spacing w:before="0"/>
              <w:rPr>
                <w:b/>
              </w:rPr>
            </w:pPr>
            <w:r w:rsidRPr="00AF33C0">
              <w:t>Rachel Teixeira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5F6CC6" w:rsidRPr="005F6CC6" w:rsidRDefault="00863D5D" w:rsidP="005F6CC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180"/>
              <w:rPr>
                <w:rFonts w:ascii="Tahoma" w:hAnsi="Tahoma" w:cs="Tahoma"/>
              </w:rPr>
            </w:pPr>
            <w:r w:rsidRPr="005F6CC6">
              <w:rPr>
                <w:rFonts w:eastAsia="Times New Roman"/>
                <w:color w:val="000000"/>
                <w:kern w:val="2"/>
              </w:rPr>
              <w:t>A r</w:t>
            </w:r>
            <w:r w:rsidR="001E56A0" w:rsidRPr="005F6CC6">
              <w:rPr>
                <w:rFonts w:eastAsia="Times New Roman"/>
                <w:color w:val="000000"/>
                <w:kern w:val="2"/>
              </w:rPr>
              <w:t xml:space="preserve">equest by </w:t>
            </w:r>
            <w:r w:rsidR="002C42B7" w:rsidRPr="005F6CC6">
              <w:rPr>
                <w:rFonts w:eastAsia="Times New Roman"/>
                <w:color w:val="000000"/>
                <w:kern w:val="2"/>
              </w:rPr>
              <w:t xml:space="preserve">Powder River Development on behalf of </w:t>
            </w:r>
            <w:r w:rsidR="00305A3E" w:rsidRPr="005F6CC6">
              <w:rPr>
                <w:rFonts w:eastAsia="Times New Roman"/>
                <w:color w:val="000000"/>
                <w:kern w:val="2"/>
              </w:rPr>
              <w:t xml:space="preserve">Presbytery of Pueblo for a </w:t>
            </w:r>
            <w:r w:rsidR="005F6CC6" w:rsidRPr="005F6CC6">
              <w:rPr>
                <w:rFonts w:eastAsia="Times New Roman"/>
                <w:color w:val="000000"/>
                <w:kern w:val="2"/>
              </w:rPr>
              <w:t>Commercial Mobile Radio Service (</w:t>
            </w:r>
            <w:r w:rsidR="002C42B7" w:rsidRPr="005F6CC6">
              <w:rPr>
                <w:color w:val="000000"/>
              </w:rPr>
              <w:t>CMRS</w:t>
            </w:r>
            <w:r w:rsidR="005F6CC6" w:rsidRPr="005F6CC6">
              <w:rPr>
                <w:color w:val="000000"/>
              </w:rPr>
              <w:t>)</w:t>
            </w:r>
            <w:r w:rsidR="002C42B7" w:rsidRPr="005F6CC6">
              <w:rPr>
                <w:color w:val="000000"/>
              </w:rPr>
              <w:t xml:space="preserve"> freestanding, stealth </w:t>
            </w:r>
            <w:r w:rsidR="005F6CC6" w:rsidRPr="005F6CC6">
              <w:rPr>
                <w:rFonts w:ascii="Tahoma" w:hAnsi="Tahoma" w:cs="Tahoma"/>
              </w:rPr>
              <w:t xml:space="preserve"> screened as a 60 feet bell tower, nine (9) T-Mobile cellular antennas, two (2) microwave dishes, and a 20’ x 50’ x 8’ ground equipment located adjacent to the building.  The bell tower will be located at the rear of the existing religious structure on the north side.   </w:t>
            </w:r>
          </w:p>
          <w:p w:rsidR="005F6CC6" w:rsidRPr="005F6CC6" w:rsidRDefault="005F6CC6" w:rsidP="005F6CC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180"/>
              <w:rPr>
                <w:rFonts w:ascii="Tahoma" w:hAnsi="Tahoma" w:cs="Tahoma"/>
              </w:rPr>
            </w:pPr>
            <w:r w:rsidRPr="005F6CC6">
              <w:rPr>
                <w:rFonts w:ascii="Tahoma" w:hAnsi="Tahoma" w:cs="Tahoma"/>
              </w:rPr>
              <w:t>The property, zoned R-1 6000/CU (Single-Family Residential with Conditional Use), consists of 4.53 acres and is located at 2520 Arlington Drive (Mount View Church).</w:t>
            </w:r>
          </w:p>
          <w:p w:rsidR="001E56A0" w:rsidRPr="00AF33C0" w:rsidRDefault="001E56A0" w:rsidP="00305A3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24B" w:rsidRPr="00AF33C0" w:rsidTr="005F6CC6">
        <w:trPr>
          <w:trHeight w:val="2060"/>
        </w:trPr>
        <w:tc>
          <w:tcPr>
            <w:tcW w:w="3258" w:type="dxa"/>
            <w:vAlign w:val="center"/>
          </w:tcPr>
          <w:p w:rsidR="00A0024B" w:rsidRPr="00AF33C0" w:rsidRDefault="00A0024B" w:rsidP="00A0024B">
            <w:pPr>
              <w:spacing w:before="0"/>
              <w:rPr>
                <w:b/>
              </w:rPr>
            </w:pPr>
            <w:r w:rsidRPr="00AF33C0">
              <w:rPr>
                <w:b/>
              </w:rPr>
              <w:t>FILE NO.S:</w:t>
            </w:r>
          </w:p>
          <w:p w:rsidR="00582BC4" w:rsidRPr="00AF33C0" w:rsidRDefault="00582BC4" w:rsidP="00582BC4">
            <w:pPr>
              <w:spacing w:before="0"/>
              <w:rPr>
                <w:b/>
              </w:rPr>
            </w:pPr>
            <w:r w:rsidRPr="00AF33C0">
              <w:rPr>
                <w:b/>
              </w:rPr>
              <w:t>CPC CP 09-00107-A1MN16</w:t>
            </w:r>
          </w:p>
          <w:p w:rsidR="00AF33C0" w:rsidRPr="00AF33C0" w:rsidRDefault="00582BC4" w:rsidP="00AF33C0">
            <w:pPr>
              <w:spacing w:before="0"/>
              <w:rPr>
                <w:bCs/>
              </w:rPr>
            </w:pPr>
            <w:r w:rsidRPr="00AF33C0">
              <w:rPr>
                <w:bCs/>
              </w:rPr>
              <w:t>(Quasi-Judicial)</w:t>
            </w:r>
          </w:p>
          <w:p w:rsidR="00AF33C0" w:rsidRPr="00AF33C0" w:rsidRDefault="00AF33C0" w:rsidP="00AF33C0">
            <w:pPr>
              <w:spacing w:before="0"/>
              <w:rPr>
                <w:bCs/>
              </w:rPr>
            </w:pPr>
          </w:p>
          <w:p w:rsidR="00AF33C0" w:rsidRPr="00AF33C0" w:rsidRDefault="00AF33C0" w:rsidP="00AF33C0">
            <w:pPr>
              <w:spacing w:before="0"/>
              <w:rPr>
                <w:bCs/>
              </w:rPr>
            </w:pPr>
          </w:p>
          <w:p w:rsidR="00AF33C0" w:rsidRPr="00AF33C0" w:rsidRDefault="00AF33C0" w:rsidP="00AF33C0">
            <w:pPr>
              <w:spacing w:before="0"/>
              <w:rPr>
                <w:bCs/>
              </w:rPr>
            </w:pPr>
          </w:p>
          <w:p w:rsidR="00A0024B" w:rsidRPr="00AF33C0" w:rsidRDefault="00A0024B" w:rsidP="00AF33C0">
            <w:pPr>
              <w:spacing w:before="0"/>
              <w:rPr>
                <w:bCs/>
              </w:rPr>
            </w:pPr>
            <w:r w:rsidRPr="00AF33C0">
              <w:rPr>
                <w:rFonts w:eastAsia="Times New Roman"/>
                <w:b/>
                <w:color w:val="000000"/>
                <w:kern w:val="2"/>
              </w:rPr>
              <w:t>CPC CU 16</w:t>
            </w:r>
            <w:r w:rsidRPr="00AF33C0">
              <w:rPr>
                <w:rFonts w:eastAsia="Times New Roman"/>
                <w:b/>
                <w:color w:val="000000"/>
                <w:kern w:val="2"/>
              </w:rPr>
              <w:noBreakHyphen/>
              <w:t>00</w:t>
            </w:r>
            <w:r w:rsidR="003D2EC9" w:rsidRPr="00AF33C0">
              <w:rPr>
                <w:rFonts w:eastAsia="Times New Roman"/>
                <w:b/>
                <w:color w:val="000000"/>
                <w:kern w:val="2"/>
              </w:rPr>
              <w:t>091</w:t>
            </w:r>
          </w:p>
          <w:p w:rsidR="00A0024B" w:rsidRPr="00AF33C0" w:rsidRDefault="00A0024B" w:rsidP="00A0024B">
            <w:pPr>
              <w:spacing w:before="0"/>
              <w:rPr>
                <w:bCs/>
              </w:rPr>
            </w:pPr>
            <w:r w:rsidRPr="00AF33C0">
              <w:rPr>
                <w:bCs/>
              </w:rPr>
              <w:t>(Quasi-Judicial)</w:t>
            </w:r>
          </w:p>
          <w:p w:rsidR="00582BC4" w:rsidRPr="00AF33C0" w:rsidRDefault="00582BC4" w:rsidP="00A0024B">
            <w:pPr>
              <w:spacing w:before="0"/>
              <w:rPr>
                <w:b/>
              </w:rPr>
            </w:pPr>
          </w:p>
          <w:p w:rsidR="00582BC4" w:rsidRPr="00AF33C0" w:rsidRDefault="00582BC4" w:rsidP="00A0024B">
            <w:pPr>
              <w:spacing w:before="0"/>
              <w:rPr>
                <w:b/>
              </w:rPr>
            </w:pPr>
          </w:p>
          <w:p w:rsidR="00582BC4" w:rsidRPr="00AF33C0" w:rsidRDefault="00582BC4" w:rsidP="00A0024B">
            <w:pPr>
              <w:spacing w:before="0"/>
              <w:rPr>
                <w:b/>
              </w:rPr>
            </w:pPr>
          </w:p>
          <w:p w:rsidR="003D2EC9" w:rsidRPr="00AF33C0" w:rsidRDefault="003D2EC9" w:rsidP="00A0024B">
            <w:pPr>
              <w:spacing w:before="0"/>
              <w:rPr>
                <w:b/>
              </w:rPr>
            </w:pPr>
          </w:p>
          <w:p w:rsidR="00A0024B" w:rsidRPr="00AF33C0" w:rsidRDefault="00A0024B" w:rsidP="00A0024B">
            <w:pPr>
              <w:spacing w:before="0"/>
            </w:pPr>
            <w:r w:rsidRPr="00AF33C0">
              <w:rPr>
                <w:b/>
              </w:rPr>
              <w:t>PLANNER</w:t>
            </w:r>
            <w:r w:rsidRPr="00AF33C0">
              <w:t>:</w:t>
            </w:r>
          </w:p>
          <w:p w:rsidR="00A0024B" w:rsidRPr="00AF33C0" w:rsidRDefault="00A0024B" w:rsidP="00E079EE">
            <w:pPr>
              <w:spacing w:before="0"/>
            </w:pPr>
            <w:r w:rsidRPr="00AF33C0">
              <w:t>Conrad Olmedo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3D2EC9" w:rsidRDefault="00863D5D" w:rsidP="003D2EC9">
            <w:pPr>
              <w:rPr>
                <w:color w:val="000000"/>
              </w:rPr>
            </w:pPr>
            <w:r>
              <w:rPr>
                <w:color w:val="000000"/>
              </w:rPr>
              <w:t>A r</w:t>
            </w:r>
            <w:r w:rsidR="003D2EC9" w:rsidRPr="00AF33C0">
              <w:rPr>
                <w:color w:val="000000"/>
              </w:rPr>
              <w:t xml:space="preserve">equest by Classic Consulting, </w:t>
            </w:r>
            <w:r w:rsidR="00305A3E" w:rsidRPr="00AF33C0">
              <w:rPr>
                <w:color w:val="000000"/>
              </w:rPr>
              <w:t>LLC,</w:t>
            </w:r>
            <w:r w:rsidR="003D2EC9" w:rsidRPr="00AF33C0">
              <w:rPr>
                <w:color w:val="000000"/>
              </w:rPr>
              <w:t xml:space="preserve"> on behalf of North Powers, </w:t>
            </w:r>
            <w:r w:rsidR="00305A3E" w:rsidRPr="00AF33C0">
              <w:rPr>
                <w:color w:val="000000"/>
              </w:rPr>
              <w:t>LLC:</w:t>
            </w:r>
          </w:p>
          <w:p w:rsidR="00AF33C0" w:rsidRPr="00AF33C0" w:rsidRDefault="00582BC4" w:rsidP="00AF33C0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/>
              <w:rPr>
                <w:rFonts w:eastAsia="Times New Roman"/>
                <w:color w:val="000000"/>
                <w:kern w:val="2"/>
              </w:rPr>
            </w:pPr>
            <w:r w:rsidRPr="00AF33C0">
              <w:t xml:space="preserve">A minor amendment to the </w:t>
            </w:r>
            <w:r w:rsidR="009607FF" w:rsidRPr="00AF33C0">
              <w:t xml:space="preserve">Stetson Hills Phase II </w:t>
            </w:r>
            <w:r w:rsidRPr="00AF33C0">
              <w:t>Concept Plan</w:t>
            </w:r>
            <w:r w:rsidR="009607FF" w:rsidRPr="00AF33C0">
              <w:t xml:space="preserve"> to allow multi-family uses.  </w:t>
            </w:r>
          </w:p>
          <w:p w:rsidR="00AF33C0" w:rsidRPr="00AF33C0" w:rsidRDefault="00AF33C0" w:rsidP="00AF33C0">
            <w:pPr>
              <w:pStyle w:val="ListParagraph"/>
              <w:autoSpaceDE w:val="0"/>
              <w:autoSpaceDN w:val="0"/>
              <w:adjustRightInd w:val="0"/>
              <w:spacing w:before="0"/>
              <w:ind w:left="360"/>
              <w:rPr>
                <w:rFonts w:eastAsia="Times New Roman"/>
                <w:color w:val="000000"/>
                <w:kern w:val="2"/>
              </w:rPr>
            </w:pPr>
          </w:p>
          <w:p w:rsidR="00AF33C0" w:rsidRPr="00AF33C0" w:rsidRDefault="003D2EC9" w:rsidP="00AF33C0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0"/>
              <w:rPr>
                <w:rFonts w:eastAsia="Times New Roman"/>
                <w:color w:val="000000"/>
                <w:kern w:val="2"/>
              </w:rPr>
            </w:pPr>
            <w:r w:rsidRPr="00AF33C0">
              <w:t>A</w:t>
            </w:r>
            <w:r w:rsidR="00582BC4" w:rsidRPr="00AF33C0">
              <w:t xml:space="preserve"> </w:t>
            </w:r>
            <w:r w:rsidR="00EB46D3">
              <w:t>C</w:t>
            </w:r>
            <w:r w:rsidRPr="00AF33C0">
              <w:t xml:space="preserve">onditional </w:t>
            </w:r>
            <w:r w:rsidR="00EB46D3">
              <w:t>U</w:t>
            </w:r>
            <w:r w:rsidRPr="00AF33C0">
              <w:t>se</w:t>
            </w:r>
            <w:r w:rsidR="00B04AAD" w:rsidRPr="00AF33C0">
              <w:t xml:space="preserve"> for the Traditions at Colorado Springs </w:t>
            </w:r>
            <w:r w:rsidR="004E7624" w:rsidRPr="00AF33C0">
              <w:t xml:space="preserve">to allow </w:t>
            </w:r>
            <w:r w:rsidRPr="00AF33C0">
              <w:t>a multi-family residential building that will be fifty-five (55) age-restricted, 180 units, four (4)-stories, a</w:t>
            </w:r>
            <w:r w:rsidR="009607FF" w:rsidRPr="00AF33C0">
              <w:t>n</w:t>
            </w:r>
            <w:r w:rsidR="00AF33C0" w:rsidRPr="00AF33C0">
              <w:t>d 160,121 square feet in size and consists of 6 acres</w:t>
            </w:r>
          </w:p>
          <w:p w:rsidR="00AF33C0" w:rsidRPr="00AF33C0" w:rsidRDefault="00AF33C0" w:rsidP="00AF33C0">
            <w:pPr>
              <w:pStyle w:val="ListParagraph"/>
            </w:pPr>
          </w:p>
          <w:p w:rsidR="00A0024B" w:rsidRPr="00AF33C0" w:rsidRDefault="00AF33C0" w:rsidP="00AF33C0">
            <w:pPr>
              <w:autoSpaceDE w:val="0"/>
              <w:autoSpaceDN w:val="0"/>
              <w:adjustRightInd w:val="0"/>
              <w:spacing w:before="0"/>
              <w:rPr>
                <w:rFonts w:eastAsia="Times New Roman"/>
                <w:color w:val="000000"/>
                <w:kern w:val="2"/>
              </w:rPr>
            </w:pPr>
            <w:r>
              <w:t>The project site is zoned PBC/</w:t>
            </w:r>
            <w:r w:rsidR="003D2EC9" w:rsidRPr="00AF33C0">
              <w:t xml:space="preserve">AO (Planned Business Center with Airport Overlay), </w:t>
            </w:r>
            <w:r w:rsidRPr="00AF33C0">
              <w:t>and</w:t>
            </w:r>
            <w:r w:rsidR="003D2EC9" w:rsidRPr="00AF33C0">
              <w:t xml:space="preserve"> located on vacant property southwest from the intersection of Tutt Blvd. and Snowy River Dr</w:t>
            </w:r>
            <w:r w:rsidRPr="00AF33C0">
              <w:t xml:space="preserve"> consisting of a total of 13 acres.</w:t>
            </w:r>
          </w:p>
        </w:tc>
      </w:tr>
      <w:tr w:rsidR="00A0024B" w:rsidRPr="00AF33C0" w:rsidTr="005F6CC6">
        <w:trPr>
          <w:trHeight w:val="1628"/>
        </w:trPr>
        <w:tc>
          <w:tcPr>
            <w:tcW w:w="3258" w:type="dxa"/>
            <w:vAlign w:val="center"/>
          </w:tcPr>
          <w:p w:rsidR="00AF33C0" w:rsidRPr="00AF33C0" w:rsidRDefault="003D2EC9" w:rsidP="00AF33C0">
            <w:pPr>
              <w:spacing w:before="0"/>
              <w:rPr>
                <w:b/>
              </w:rPr>
            </w:pPr>
            <w:r w:rsidRPr="00AF33C0">
              <w:rPr>
                <w:b/>
              </w:rPr>
              <w:t>FILE NO.S:</w:t>
            </w:r>
          </w:p>
          <w:p w:rsidR="003D2EC9" w:rsidRPr="00AF33C0" w:rsidRDefault="003D2EC9" w:rsidP="00AF33C0">
            <w:pPr>
              <w:spacing w:before="0"/>
              <w:rPr>
                <w:rFonts w:eastAsia="Times New Roman"/>
                <w:b/>
                <w:color w:val="000000"/>
                <w:kern w:val="2"/>
              </w:rPr>
            </w:pPr>
            <w:r w:rsidRPr="00AF33C0">
              <w:rPr>
                <w:rFonts w:eastAsia="Times New Roman"/>
                <w:b/>
                <w:color w:val="000000"/>
                <w:kern w:val="2"/>
              </w:rPr>
              <w:t>CPC CU 16</w:t>
            </w:r>
            <w:r w:rsidRPr="00AF33C0">
              <w:rPr>
                <w:rFonts w:eastAsia="Times New Roman"/>
                <w:b/>
                <w:color w:val="000000"/>
                <w:kern w:val="2"/>
              </w:rPr>
              <w:noBreakHyphen/>
              <w:t>00105</w:t>
            </w:r>
          </w:p>
          <w:p w:rsidR="003D2EC9" w:rsidRPr="00AF33C0" w:rsidRDefault="003D2EC9" w:rsidP="003D2EC9">
            <w:pPr>
              <w:spacing w:before="0"/>
              <w:rPr>
                <w:bCs/>
              </w:rPr>
            </w:pPr>
            <w:r w:rsidRPr="00AF33C0">
              <w:rPr>
                <w:bCs/>
              </w:rPr>
              <w:t>(Quasi-Judicial)</w:t>
            </w:r>
          </w:p>
          <w:p w:rsidR="003D2EC9" w:rsidRPr="00AF33C0" w:rsidRDefault="003D2EC9" w:rsidP="003D2EC9">
            <w:pPr>
              <w:spacing w:before="0"/>
              <w:rPr>
                <w:bCs/>
              </w:rPr>
            </w:pPr>
          </w:p>
          <w:p w:rsidR="003D2EC9" w:rsidRPr="00AF33C0" w:rsidRDefault="003D2EC9" w:rsidP="003D2EC9">
            <w:pPr>
              <w:spacing w:before="0"/>
              <w:rPr>
                <w:b/>
              </w:rPr>
            </w:pPr>
          </w:p>
          <w:p w:rsidR="003D2EC9" w:rsidRPr="00AF33C0" w:rsidRDefault="003D2EC9" w:rsidP="003D2EC9">
            <w:pPr>
              <w:spacing w:before="0"/>
            </w:pPr>
            <w:r w:rsidRPr="00AF33C0">
              <w:rPr>
                <w:b/>
              </w:rPr>
              <w:t>PLANNER</w:t>
            </w:r>
            <w:r w:rsidRPr="00AF33C0">
              <w:t>:</w:t>
            </w:r>
          </w:p>
          <w:p w:rsidR="00A0024B" w:rsidRPr="00AF33C0" w:rsidRDefault="003D2EC9" w:rsidP="003D2EC9">
            <w:pPr>
              <w:spacing w:before="0"/>
            </w:pPr>
            <w:r w:rsidRPr="00AF33C0">
              <w:t>Conrad Olmedo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3D2EC9" w:rsidRPr="00AF33C0" w:rsidRDefault="00305A3E" w:rsidP="005F6CC6">
            <w:pPr>
              <w:rPr>
                <w:rFonts w:eastAsia="Times New Roman"/>
                <w:color w:val="000000"/>
                <w:kern w:val="2"/>
              </w:rPr>
            </w:pPr>
            <w:r w:rsidRPr="00AF33C0">
              <w:rPr>
                <w:color w:val="000000"/>
              </w:rPr>
              <w:t xml:space="preserve">A request by Heidi </w:t>
            </w:r>
            <w:proofErr w:type="spellStart"/>
            <w:r w:rsidRPr="00AF33C0">
              <w:rPr>
                <w:color w:val="000000"/>
              </w:rPr>
              <w:t>Clearo</w:t>
            </w:r>
            <w:proofErr w:type="spellEnd"/>
            <w:r w:rsidRPr="00AF33C0">
              <w:rPr>
                <w:color w:val="000000"/>
              </w:rPr>
              <w:t xml:space="preserve"> for a</w:t>
            </w:r>
            <w:r w:rsidR="003D2EC9" w:rsidRPr="00AF33C0">
              <w:rPr>
                <w:color w:val="000000"/>
              </w:rPr>
              <w:t xml:space="preserve"> conditional use to allow </w:t>
            </w:r>
            <w:r w:rsidR="004E7624" w:rsidRPr="00AF33C0">
              <w:rPr>
                <w:color w:val="000000"/>
              </w:rPr>
              <w:t xml:space="preserve">a large daycare home with </w:t>
            </w:r>
            <w:r w:rsidR="004B4BDA" w:rsidRPr="00AF33C0">
              <w:rPr>
                <w:color w:val="000000"/>
              </w:rPr>
              <w:t xml:space="preserve">7 to 12 full-time children.  </w:t>
            </w:r>
            <w:r w:rsidR="003D2EC9" w:rsidRPr="00AF33C0">
              <w:rPr>
                <w:color w:val="000000"/>
              </w:rPr>
              <w:t>The property is zoned R</w:t>
            </w:r>
            <w:r w:rsidRPr="00AF33C0">
              <w:rPr>
                <w:color w:val="000000"/>
              </w:rPr>
              <w:t>-</w:t>
            </w:r>
            <w:r w:rsidR="003D2EC9" w:rsidRPr="00AF33C0">
              <w:rPr>
                <w:color w:val="000000"/>
              </w:rPr>
              <w:t>2 (Two-Family Residential), is 9,375 square feet in size, and located on N</w:t>
            </w:r>
            <w:r w:rsidR="00AF33C0">
              <w:rPr>
                <w:color w:val="000000"/>
              </w:rPr>
              <w:t>orth</w:t>
            </w:r>
            <w:r w:rsidR="003D2EC9" w:rsidRPr="00AF33C0">
              <w:rPr>
                <w:color w:val="000000"/>
              </w:rPr>
              <w:t xml:space="preserve"> 7th St. between W</w:t>
            </w:r>
            <w:r w:rsidR="00AF33C0">
              <w:rPr>
                <w:color w:val="000000"/>
              </w:rPr>
              <w:t>est</w:t>
            </w:r>
            <w:r w:rsidR="003D2EC9" w:rsidRPr="00AF33C0">
              <w:rPr>
                <w:color w:val="000000"/>
              </w:rPr>
              <w:t xml:space="preserve"> Madison St. and W</w:t>
            </w:r>
            <w:r w:rsidR="00AF33C0">
              <w:rPr>
                <w:color w:val="000000"/>
              </w:rPr>
              <w:t>est</w:t>
            </w:r>
            <w:r w:rsidR="003D2EC9" w:rsidRPr="00AF33C0">
              <w:rPr>
                <w:color w:val="000000"/>
              </w:rPr>
              <w:t xml:space="preserve"> Jefferson St. </w:t>
            </w:r>
            <w:r w:rsidR="00AF33C0">
              <w:rPr>
                <w:color w:val="000000"/>
              </w:rPr>
              <w:t>addressed as</w:t>
            </w:r>
            <w:r w:rsidR="003D2EC9" w:rsidRPr="00AF33C0">
              <w:rPr>
                <w:color w:val="000000"/>
              </w:rPr>
              <w:t xml:space="preserve"> 2115 N. 7th St.</w:t>
            </w:r>
          </w:p>
        </w:tc>
      </w:tr>
      <w:tr w:rsidR="00A0024B" w:rsidRPr="00AF33C0" w:rsidTr="005F6CC6">
        <w:trPr>
          <w:trHeight w:val="2060"/>
        </w:trPr>
        <w:tc>
          <w:tcPr>
            <w:tcW w:w="3258" w:type="dxa"/>
            <w:vAlign w:val="center"/>
          </w:tcPr>
          <w:p w:rsidR="00EB46D3" w:rsidRDefault="003D2EC9" w:rsidP="00EB46D3">
            <w:pPr>
              <w:spacing w:before="0"/>
              <w:rPr>
                <w:b/>
              </w:rPr>
            </w:pPr>
            <w:r w:rsidRPr="00AF33C0">
              <w:rPr>
                <w:b/>
              </w:rPr>
              <w:t>FILE NO.S:</w:t>
            </w:r>
          </w:p>
          <w:p w:rsidR="003D2EC9" w:rsidRPr="00AF33C0" w:rsidRDefault="003D2EC9" w:rsidP="00EB46D3">
            <w:pPr>
              <w:spacing w:before="0"/>
              <w:rPr>
                <w:rFonts w:eastAsia="Times New Roman"/>
                <w:b/>
                <w:color w:val="000000"/>
                <w:kern w:val="2"/>
              </w:rPr>
            </w:pPr>
            <w:r w:rsidRPr="00AF33C0">
              <w:rPr>
                <w:rFonts w:eastAsia="Times New Roman"/>
                <w:b/>
                <w:color w:val="000000"/>
                <w:kern w:val="2"/>
              </w:rPr>
              <w:t>CPC CU 16</w:t>
            </w:r>
            <w:r w:rsidRPr="00AF33C0">
              <w:rPr>
                <w:rFonts w:eastAsia="Times New Roman"/>
                <w:b/>
                <w:color w:val="000000"/>
                <w:kern w:val="2"/>
              </w:rPr>
              <w:noBreakHyphen/>
              <w:t>00106</w:t>
            </w:r>
          </w:p>
          <w:p w:rsidR="003D2EC9" w:rsidRPr="00AF33C0" w:rsidRDefault="003D2EC9" w:rsidP="003D2EC9">
            <w:pPr>
              <w:spacing w:before="0"/>
              <w:rPr>
                <w:bCs/>
              </w:rPr>
            </w:pPr>
            <w:r w:rsidRPr="00AF33C0">
              <w:rPr>
                <w:bCs/>
              </w:rPr>
              <w:t>(Quasi-Judicial)</w:t>
            </w:r>
          </w:p>
          <w:p w:rsidR="003D2EC9" w:rsidRPr="00AF33C0" w:rsidRDefault="003D2EC9" w:rsidP="003D2EC9">
            <w:pPr>
              <w:spacing w:before="0"/>
              <w:rPr>
                <w:bCs/>
              </w:rPr>
            </w:pPr>
          </w:p>
          <w:p w:rsidR="003D2EC9" w:rsidRPr="00AF33C0" w:rsidRDefault="003D2EC9" w:rsidP="003D2EC9">
            <w:pPr>
              <w:spacing w:before="0"/>
              <w:rPr>
                <w:b/>
              </w:rPr>
            </w:pPr>
          </w:p>
          <w:p w:rsidR="003D2EC9" w:rsidRPr="00AF33C0" w:rsidRDefault="003D2EC9" w:rsidP="003D2EC9">
            <w:pPr>
              <w:spacing w:before="0"/>
              <w:rPr>
                <w:b/>
              </w:rPr>
            </w:pPr>
          </w:p>
          <w:p w:rsidR="003D2EC9" w:rsidRPr="00AF33C0" w:rsidRDefault="003D2EC9" w:rsidP="003D2EC9">
            <w:pPr>
              <w:spacing w:before="0"/>
            </w:pPr>
            <w:r w:rsidRPr="00AF33C0">
              <w:rPr>
                <w:b/>
              </w:rPr>
              <w:t>PLANNER</w:t>
            </w:r>
            <w:r w:rsidRPr="00AF33C0">
              <w:t>:</w:t>
            </w:r>
          </w:p>
          <w:p w:rsidR="003D2EC9" w:rsidRPr="00AF33C0" w:rsidRDefault="003D2EC9" w:rsidP="00AF33C0">
            <w:pPr>
              <w:spacing w:before="0"/>
              <w:rPr>
                <w:b/>
              </w:rPr>
            </w:pPr>
            <w:r w:rsidRPr="00AF33C0">
              <w:t>Michael Schultz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A0024B" w:rsidRPr="00AF33C0" w:rsidRDefault="00863D5D" w:rsidP="00863D5D">
            <w:pPr>
              <w:rPr>
                <w:rFonts w:eastAsia="Times New Roman"/>
                <w:color w:val="000000"/>
                <w:kern w:val="2"/>
              </w:rPr>
            </w:pPr>
            <w:r>
              <w:rPr>
                <w:color w:val="000000"/>
              </w:rPr>
              <w:t>A r</w:t>
            </w:r>
            <w:r w:rsidR="003D2EC9" w:rsidRPr="00AF33C0">
              <w:rPr>
                <w:color w:val="000000"/>
              </w:rPr>
              <w:t xml:space="preserve">equest by Thomas </w:t>
            </w:r>
            <w:proofErr w:type="spellStart"/>
            <w:r w:rsidR="003D2EC9" w:rsidRPr="00AF33C0">
              <w:rPr>
                <w:color w:val="000000"/>
              </w:rPr>
              <w:t>MacLaren</w:t>
            </w:r>
            <w:proofErr w:type="spellEnd"/>
            <w:r w:rsidR="003D2EC9" w:rsidRPr="00AF33C0">
              <w:rPr>
                <w:color w:val="000000"/>
              </w:rPr>
              <w:t xml:space="preserve"> School on behalf of Springs Garden of the Gods LLC for</w:t>
            </w:r>
            <w:r w:rsidR="00305A3E" w:rsidRPr="00AF33C0">
              <w:rPr>
                <w:color w:val="000000"/>
              </w:rPr>
              <w:t xml:space="preserve"> a</w:t>
            </w:r>
            <w:r w:rsidR="003D2EC9" w:rsidRPr="00AF33C0">
              <w:t xml:space="preserve"> conditional use to allow a </w:t>
            </w:r>
            <w:r w:rsidR="00305A3E" w:rsidRPr="00AF33C0">
              <w:t>C</w:t>
            </w:r>
            <w:r w:rsidR="003D2EC9" w:rsidRPr="00AF33C0">
              <w:t xml:space="preserve">harter </w:t>
            </w:r>
            <w:r w:rsidR="00305A3E" w:rsidRPr="00AF33C0">
              <w:t>S</w:t>
            </w:r>
            <w:r w:rsidR="003D2EC9" w:rsidRPr="00AF33C0">
              <w:t>chool within a PIP-1 (Planned Industrial Park) zone district.  The request is to allow a</w:t>
            </w:r>
            <w:r w:rsidR="007F08E9" w:rsidRPr="00AF33C0">
              <w:t xml:space="preserve"> K-12 </w:t>
            </w:r>
            <w:r w:rsidR="00305A3E" w:rsidRPr="00AF33C0">
              <w:t>C</w:t>
            </w:r>
            <w:r w:rsidR="007F08E9" w:rsidRPr="00AF33C0">
              <w:t xml:space="preserve">harter </w:t>
            </w:r>
            <w:r w:rsidR="00305A3E" w:rsidRPr="00AF33C0">
              <w:t>S</w:t>
            </w:r>
            <w:r w:rsidR="007F08E9" w:rsidRPr="00AF33C0">
              <w:t>chool at 1615 W. Garden of the Gods Road along with</w:t>
            </w:r>
            <w:r w:rsidR="003D2EC9" w:rsidRPr="00AF33C0">
              <w:t xml:space="preserve"> the parking lot located on the south side of the drainage way (Lot 5).  The property is</w:t>
            </w:r>
            <w:r w:rsidR="00EB46D3" w:rsidRPr="00AF33C0">
              <w:t xml:space="preserve"> zoned PIP-1 (Planned Industrial Park) </w:t>
            </w:r>
            <w:r w:rsidR="003D2EC9" w:rsidRPr="00AF33C0">
              <w:t xml:space="preserve">located at </w:t>
            </w:r>
            <w:r w:rsidR="00EB46D3">
              <w:t>1615 W. Garden of the Gods Road</w:t>
            </w:r>
            <w:r w:rsidR="003D2EC9" w:rsidRPr="00AF33C0">
              <w:t xml:space="preserve"> and consists of 21.96 acres.</w:t>
            </w:r>
            <w:r w:rsidR="003D2EC9" w:rsidRPr="00AF33C0">
              <w:rPr>
                <w:color w:val="000000"/>
              </w:rPr>
              <w:t xml:space="preserve"> </w:t>
            </w:r>
          </w:p>
        </w:tc>
      </w:tr>
      <w:tr w:rsidR="00BC2A34" w:rsidRPr="00AF33C0" w:rsidTr="005F6CC6">
        <w:trPr>
          <w:trHeight w:val="1610"/>
        </w:trPr>
        <w:tc>
          <w:tcPr>
            <w:tcW w:w="3258" w:type="dxa"/>
            <w:vAlign w:val="center"/>
          </w:tcPr>
          <w:p w:rsidR="00305A3E" w:rsidRPr="00AF33C0" w:rsidRDefault="00BC2A34" w:rsidP="00305A3E">
            <w:pPr>
              <w:spacing w:before="0"/>
              <w:rPr>
                <w:b/>
              </w:rPr>
            </w:pPr>
            <w:r w:rsidRPr="00AF33C0">
              <w:rPr>
                <w:b/>
              </w:rPr>
              <w:t>FILE NO.S:</w:t>
            </w:r>
          </w:p>
          <w:p w:rsidR="00BC2A34" w:rsidRPr="00AF33C0" w:rsidRDefault="00BC2A34" w:rsidP="00305A3E">
            <w:pPr>
              <w:spacing w:before="0"/>
              <w:rPr>
                <w:rFonts w:eastAsia="Times New Roman"/>
                <w:b/>
                <w:color w:val="000000"/>
                <w:kern w:val="2"/>
              </w:rPr>
            </w:pPr>
            <w:r w:rsidRPr="00AF33C0">
              <w:rPr>
                <w:rFonts w:eastAsia="Times New Roman"/>
                <w:b/>
                <w:color w:val="000000"/>
                <w:kern w:val="2"/>
              </w:rPr>
              <w:t>CPC CA 16-00008</w:t>
            </w:r>
          </w:p>
          <w:p w:rsidR="00BC2A34" w:rsidRPr="00AF33C0" w:rsidRDefault="00BC2A34" w:rsidP="00BC2A34">
            <w:pPr>
              <w:spacing w:before="0"/>
              <w:rPr>
                <w:bCs/>
              </w:rPr>
            </w:pPr>
            <w:r w:rsidRPr="00AF33C0">
              <w:rPr>
                <w:bCs/>
              </w:rPr>
              <w:t>(Legislative)</w:t>
            </w:r>
          </w:p>
          <w:p w:rsidR="00BC2A34" w:rsidRPr="00AF33C0" w:rsidRDefault="00BC2A34" w:rsidP="00BC2A34">
            <w:pPr>
              <w:spacing w:before="0"/>
              <w:rPr>
                <w:b/>
              </w:rPr>
            </w:pPr>
          </w:p>
          <w:p w:rsidR="00BC2A34" w:rsidRPr="00AF33C0" w:rsidRDefault="00BC2A34" w:rsidP="00BC2A34">
            <w:pPr>
              <w:spacing w:before="0"/>
            </w:pPr>
            <w:r w:rsidRPr="00AF33C0">
              <w:rPr>
                <w:b/>
              </w:rPr>
              <w:t>PLANNER</w:t>
            </w:r>
            <w:r w:rsidRPr="00AF33C0">
              <w:t>:</w:t>
            </w:r>
          </w:p>
          <w:p w:rsidR="00BC2A34" w:rsidRPr="00AF33C0" w:rsidRDefault="00BC2A34" w:rsidP="00305A3E">
            <w:pPr>
              <w:spacing w:before="0"/>
              <w:rPr>
                <w:b/>
              </w:rPr>
            </w:pPr>
            <w:r w:rsidRPr="00AF33C0">
              <w:t>Carl Schueler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BC2A34" w:rsidRPr="00AF33C0" w:rsidRDefault="003328BE" w:rsidP="003328BE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44"/>
              <w:rPr>
                <w:rFonts w:eastAsia="Times New Roman"/>
                <w:color w:val="000000"/>
                <w:kern w:val="2"/>
              </w:rPr>
            </w:pPr>
            <w:r w:rsidRPr="00AF33C0">
              <w:rPr>
                <w:rFonts w:eastAsia="Times New Roman"/>
                <w:color w:val="000000"/>
                <w:kern w:val="2"/>
              </w:rPr>
              <w:t>Further consideration of a</w:t>
            </w:r>
            <w:r w:rsidR="00BC2A34" w:rsidRPr="00AF33C0">
              <w:rPr>
                <w:rFonts w:eastAsia="Times New Roman"/>
                <w:color w:val="000000"/>
                <w:kern w:val="2"/>
              </w:rPr>
              <w:t>n Ordinance repealing and reordaining Section 906 (Appeals) of Part 9 (Notice, Hearings and Appeals) of Article 5 (Administration and Procedures) of Chapter 7 (Planning, Development and Building) of the Code of the City of Colorado Springs 2001, as amended, pertaining to appeals.</w:t>
            </w:r>
          </w:p>
        </w:tc>
      </w:tr>
      <w:tr w:rsidR="00BC2A34" w:rsidRPr="00AF33C0" w:rsidTr="005F6CC6">
        <w:trPr>
          <w:trHeight w:val="1520"/>
        </w:trPr>
        <w:tc>
          <w:tcPr>
            <w:tcW w:w="3258" w:type="dxa"/>
            <w:vAlign w:val="center"/>
          </w:tcPr>
          <w:p w:rsidR="00305A3E" w:rsidRPr="00AF33C0" w:rsidRDefault="00BC2A34" w:rsidP="00305A3E">
            <w:pPr>
              <w:spacing w:before="0"/>
              <w:rPr>
                <w:b/>
              </w:rPr>
            </w:pPr>
            <w:r w:rsidRPr="00AF33C0">
              <w:rPr>
                <w:b/>
              </w:rPr>
              <w:lastRenderedPageBreak/>
              <w:t>FILE NO.S:</w:t>
            </w:r>
          </w:p>
          <w:p w:rsidR="00BC2A34" w:rsidRPr="00AF33C0" w:rsidRDefault="00BC2A34" w:rsidP="00305A3E">
            <w:pPr>
              <w:spacing w:before="0"/>
              <w:rPr>
                <w:rFonts w:eastAsia="Times New Roman"/>
                <w:b/>
                <w:color w:val="000000"/>
                <w:kern w:val="2"/>
              </w:rPr>
            </w:pPr>
            <w:r w:rsidRPr="00AF33C0">
              <w:rPr>
                <w:rFonts w:eastAsia="Times New Roman"/>
                <w:b/>
                <w:color w:val="000000"/>
                <w:kern w:val="2"/>
              </w:rPr>
              <w:t>CPC CA 16</w:t>
            </w:r>
            <w:r w:rsidRPr="00AF33C0">
              <w:rPr>
                <w:rFonts w:eastAsia="Times New Roman"/>
                <w:b/>
                <w:color w:val="000000"/>
                <w:kern w:val="2"/>
              </w:rPr>
              <w:noBreakHyphen/>
              <w:t>00079</w:t>
            </w:r>
          </w:p>
          <w:p w:rsidR="00BC2A34" w:rsidRPr="00AF33C0" w:rsidRDefault="00BC2A34" w:rsidP="00BC2A34">
            <w:pPr>
              <w:spacing w:before="0"/>
              <w:rPr>
                <w:bCs/>
              </w:rPr>
            </w:pPr>
            <w:r w:rsidRPr="00AF33C0">
              <w:rPr>
                <w:bCs/>
              </w:rPr>
              <w:t>(</w:t>
            </w:r>
            <w:r w:rsidR="00AF33C0">
              <w:rPr>
                <w:bCs/>
              </w:rPr>
              <w:t>Legislative</w:t>
            </w:r>
            <w:r w:rsidRPr="00AF33C0">
              <w:rPr>
                <w:bCs/>
              </w:rPr>
              <w:t>)</w:t>
            </w:r>
          </w:p>
          <w:p w:rsidR="00AF33C0" w:rsidRPr="00AF33C0" w:rsidRDefault="00AF33C0" w:rsidP="00BC2A34">
            <w:pPr>
              <w:spacing w:before="0"/>
              <w:rPr>
                <w:b/>
              </w:rPr>
            </w:pPr>
          </w:p>
          <w:p w:rsidR="00BC2A34" w:rsidRPr="00AF33C0" w:rsidRDefault="00BC2A34" w:rsidP="00BC2A34">
            <w:pPr>
              <w:spacing w:before="0"/>
            </w:pPr>
            <w:r w:rsidRPr="00AF33C0">
              <w:rPr>
                <w:b/>
              </w:rPr>
              <w:t>PLANNER</w:t>
            </w:r>
            <w:r w:rsidRPr="00AF33C0">
              <w:t>:</w:t>
            </w:r>
          </w:p>
          <w:p w:rsidR="00BC2A34" w:rsidRPr="00AF33C0" w:rsidRDefault="00BC2A34" w:rsidP="00305A3E">
            <w:pPr>
              <w:spacing w:before="0"/>
              <w:rPr>
                <w:b/>
              </w:rPr>
            </w:pPr>
            <w:r w:rsidRPr="00AF33C0">
              <w:t>Peter Wysocki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BC2A34" w:rsidRPr="00AF33C0" w:rsidRDefault="00BC2A34" w:rsidP="00AF33C0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44"/>
              <w:rPr>
                <w:rFonts w:eastAsia="Times New Roman"/>
                <w:color w:val="000000"/>
                <w:kern w:val="2"/>
              </w:rPr>
            </w:pPr>
            <w:r w:rsidRPr="00AF33C0">
              <w:rPr>
                <w:rFonts w:eastAsia="Times New Roman"/>
                <w:color w:val="000000"/>
                <w:kern w:val="2"/>
              </w:rPr>
              <w:t>An ordinance amending Part 5 (Geological Hazard Study and Mitigation) of Article 4 (Site Development Standards) of Chapter 7 (Planning, Development and Building) of the Code of the City of Colorado Springs 2001, as amended, pertaining to geological hazard study and mitigation.</w:t>
            </w:r>
          </w:p>
        </w:tc>
      </w:tr>
      <w:tr w:rsidR="00BC2A34" w:rsidRPr="00AF33C0" w:rsidTr="005F6CC6">
        <w:trPr>
          <w:trHeight w:val="2060"/>
        </w:trPr>
        <w:tc>
          <w:tcPr>
            <w:tcW w:w="3258" w:type="dxa"/>
            <w:vAlign w:val="center"/>
          </w:tcPr>
          <w:p w:rsidR="00305A3E" w:rsidRPr="00AF33C0" w:rsidRDefault="00BC2A34" w:rsidP="00305A3E">
            <w:pPr>
              <w:spacing w:before="0"/>
              <w:rPr>
                <w:b/>
              </w:rPr>
            </w:pPr>
            <w:r w:rsidRPr="00AF33C0">
              <w:rPr>
                <w:b/>
              </w:rPr>
              <w:t>FILE NO.S:</w:t>
            </w:r>
          </w:p>
          <w:p w:rsidR="00BC2A34" w:rsidRPr="00AF33C0" w:rsidRDefault="00BC2A34" w:rsidP="00305A3E">
            <w:pPr>
              <w:spacing w:before="0"/>
              <w:rPr>
                <w:rFonts w:eastAsia="Times New Roman"/>
                <w:b/>
                <w:color w:val="000000"/>
                <w:kern w:val="2"/>
              </w:rPr>
            </w:pPr>
            <w:r w:rsidRPr="00AF33C0">
              <w:rPr>
                <w:rFonts w:eastAsia="Times New Roman"/>
                <w:b/>
                <w:color w:val="000000"/>
                <w:kern w:val="2"/>
              </w:rPr>
              <w:t>CPC MPA 06-00206-A8MN16</w:t>
            </w:r>
          </w:p>
          <w:p w:rsidR="00BC2A34" w:rsidRPr="00AF33C0" w:rsidRDefault="00BC2A34" w:rsidP="00BC2A34">
            <w:pPr>
              <w:spacing w:before="0"/>
              <w:rPr>
                <w:bCs/>
              </w:rPr>
            </w:pPr>
            <w:r w:rsidRPr="00AF33C0">
              <w:rPr>
                <w:bCs/>
              </w:rPr>
              <w:t>(</w:t>
            </w:r>
            <w:r w:rsidR="0000400C" w:rsidRPr="00AF33C0">
              <w:rPr>
                <w:bCs/>
              </w:rPr>
              <w:t>Quasi-Judicial</w:t>
            </w:r>
            <w:r w:rsidRPr="00AF33C0">
              <w:rPr>
                <w:bCs/>
              </w:rPr>
              <w:t>)</w:t>
            </w:r>
          </w:p>
          <w:p w:rsidR="00BC2A34" w:rsidRPr="00AF33C0" w:rsidRDefault="00BC2A34" w:rsidP="00BC2A34">
            <w:pPr>
              <w:spacing w:before="0"/>
              <w:rPr>
                <w:bCs/>
              </w:rPr>
            </w:pPr>
          </w:p>
          <w:p w:rsidR="00BC2A34" w:rsidRPr="00AF33C0" w:rsidRDefault="00BC2A34" w:rsidP="00BC2A34">
            <w:pPr>
              <w:spacing w:before="0"/>
              <w:rPr>
                <w:bCs/>
              </w:rPr>
            </w:pPr>
          </w:p>
          <w:p w:rsidR="00BC3FF5" w:rsidRPr="00AF33C0" w:rsidRDefault="00BC3FF5" w:rsidP="00BC2A34">
            <w:pPr>
              <w:spacing w:before="0"/>
              <w:rPr>
                <w:b/>
                <w:bCs/>
              </w:rPr>
            </w:pPr>
          </w:p>
          <w:p w:rsidR="00BC2A34" w:rsidRPr="00AF33C0" w:rsidRDefault="00BC2A34" w:rsidP="00BC2A34">
            <w:pPr>
              <w:spacing w:before="0"/>
              <w:rPr>
                <w:b/>
                <w:bCs/>
              </w:rPr>
            </w:pPr>
            <w:r w:rsidRPr="00AF33C0">
              <w:rPr>
                <w:b/>
                <w:bCs/>
              </w:rPr>
              <w:t>CPC PUZ 16-00092</w:t>
            </w:r>
          </w:p>
          <w:p w:rsidR="00B331B7" w:rsidRPr="00AF33C0" w:rsidRDefault="00BC2A34" w:rsidP="00BC2A34">
            <w:pPr>
              <w:spacing w:before="0"/>
              <w:rPr>
                <w:bCs/>
              </w:rPr>
            </w:pPr>
            <w:r w:rsidRPr="00AF33C0">
              <w:rPr>
                <w:bCs/>
              </w:rPr>
              <w:t>(Quasi-Judicial)</w:t>
            </w:r>
          </w:p>
          <w:p w:rsidR="00B331B7" w:rsidRPr="00AF33C0" w:rsidRDefault="00B331B7" w:rsidP="00BC2A34">
            <w:pPr>
              <w:spacing w:before="0"/>
              <w:rPr>
                <w:b/>
                <w:bCs/>
              </w:rPr>
            </w:pPr>
          </w:p>
          <w:p w:rsidR="00B331B7" w:rsidRPr="00AF33C0" w:rsidRDefault="00B331B7" w:rsidP="00BC2A34">
            <w:pPr>
              <w:spacing w:before="0"/>
              <w:rPr>
                <w:b/>
                <w:bCs/>
              </w:rPr>
            </w:pPr>
          </w:p>
          <w:p w:rsidR="00B331B7" w:rsidRPr="00AF33C0" w:rsidRDefault="00B331B7" w:rsidP="00BC2A34">
            <w:pPr>
              <w:spacing w:before="0"/>
              <w:rPr>
                <w:b/>
                <w:bCs/>
              </w:rPr>
            </w:pPr>
          </w:p>
          <w:p w:rsidR="00BC2A34" w:rsidRPr="00AF33C0" w:rsidRDefault="00BC2A34" w:rsidP="00BC2A34">
            <w:pPr>
              <w:spacing w:before="0"/>
              <w:rPr>
                <w:b/>
                <w:bCs/>
              </w:rPr>
            </w:pPr>
            <w:r w:rsidRPr="00AF33C0">
              <w:rPr>
                <w:b/>
                <w:bCs/>
              </w:rPr>
              <w:t>CPC PUP 16-00093</w:t>
            </w:r>
          </w:p>
          <w:p w:rsidR="00BC2A34" w:rsidRPr="00AF33C0" w:rsidRDefault="00BC2A34" w:rsidP="00BC2A34">
            <w:pPr>
              <w:spacing w:before="0"/>
              <w:rPr>
                <w:bCs/>
              </w:rPr>
            </w:pPr>
            <w:r w:rsidRPr="00AF33C0">
              <w:rPr>
                <w:bCs/>
              </w:rPr>
              <w:t>(Quasi-Judicial)</w:t>
            </w:r>
          </w:p>
          <w:p w:rsidR="00BC2A34" w:rsidRPr="00AF33C0" w:rsidRDefault="00BC2A34" w:rsidP="00BC2A34">
            <w:pPr>
              <w:spacing w:before="0"/>
              <w:rPr>
                <w:bCs/>
              </w:rPr>
            </w:pPr>
          </w:p>
          <w:p w:rsidR="00BC2A34" w:rsidRPr="00AF33C0" w:rsidRDefault="00BC2A34" w:rsidP="00BC2A34">
            <w:pPr>
              <w:spacing w:before="0"/>
              <w:rPr>
                <w:b/>
              </w:rPr>
            </w:pPr>
          </w:p>
          <w:p w:rsidR="00BC2A34" w:rsidRPr="00AF33C0" w:rsidRDefault="00BC2A34" w:rsidP="00BC2A34">
            <w:pPr>
              <w:spacing w:before="0"/>
              <w:rPr>
                <w:b/>
              </w:rPr>
            </w:pPr>
          </w:p>
          <w:p w:rsidR="00BC2A34" w:rsidRPr="00AF33C0" w:rsidRDefault="00BC2A34" w:rsidP="00BC2A34">
            <w:pPr>
              <w:spacing w:before="0"/>
            </w:pPr>
            <w:r w:rsidRPr="00AF33C0">
              <w:rPr>
                <w:b/>
              </w:rPr>
              <w:t>PLANNER</w:t>
            </w:r>
            <w:r w:rsidRPr="00AF33C0">
              <w:t>:</w:t>
            </w:r>
          </w:p>
          <w:p w:rsidR="00BC2A34" w:rsidRPr="00AF33C0" w:rsidRDefault="00BC2A34" w:rsidP="00EB46D3">
            <w:pPr>
              <w:spacing w:before="0"/>
              <w:rPr>
                <w:b/>
              </w:rPr>
            </w:pPr>
            <w:r w:rsidRPr="00AF33C0">
              <w:t>Daniel Sexton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705308" w:rsidRPr="00AF33C0" w:rsidRDefault="00DB3DF0" w:rsidP="00C80F3E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44"/>
              <w:rPr>
                <w:color w:val="000000"/>
              </w:rPr>
            </w:pPr>
            <w:r>
              <w:rPr>
                <w:color w:val="000000"/>
              </w:rPr>
              <w:t>A r</w:t>
            </w:r>
            <w:r w:rsidR="00705308" w:rsidRPr="00AF33C0">
              <w:rPr>
                <w:color w:val="000000"/>
              </w:rPr>
              <w:t>equest by N.E.S.,</w:t>
            </w:r>
            <w:r w:rsidR="0000400C" w:rsidRPr="00AF33C0">
              <w:rPr>
                <w:color w:val="000000"/>
              </w:rPr>
              <w:t xml:space="preserve"> Inc.,</w:t>
            </w:r>
            <w:r w:rsidR="00705308" w:rsidRPr="00AF33C0">
              <w:rPr>
                <w:color w:val="000000"/>
              </w:rPr>
              <w:t xml:space="preserve"> on behalf of Springs Land Venture</w:t>
            </w:r>
            <w:r w:rsidR="0000400C" w:rsidRPr="00AF33C0">
              <w:rPr>
                <w:color w:val="000000"/>
              </w:rPr>
              <w:t>s</w:t>
            </w:r>
            <w:r w:rsidR="00705308" w:rsidRPr="00AF33C0">
              <w:rPr>
                <w:color w:val="000000"/>
              </w:rPr>
              <w:t xml:space="preserve">, LLC, for:  </w:t>
            </w:r>
          </w:p>
          <w:p w:rsidR="00B450A6" w:rsidRPr="00AF33C0" w:rsidRDefault="00B450A6" w:rsidP="0000400C">
            <w:pPr>
              <w:pStyle w:val="ListParagraph"/>
              <w:numPr>
                <w:ilvl w:val="0"/>
                <w:numId w:val="46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44"/>
              <w:rPr>
                <w:color w:val="000000"/>
              </w:rPr>
            </w:pPr>
            <w:r w:rsidRPr="00AF33C0">
              <w:t xml:space="preserve">An </w:t>
            </w:r>
            <w:r w:rsidR="0000400C" w:rsidRPr="00AF33C0">
              <w:t xml:space="preserve">amendment </w:t>
            </w:r>
            <w:r w:rsidR="00E1224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12242" w:rsidRPr="00E12242">
              <w:t>for the Forest Meadows South Development project</w:t>
            </w:r>
            <w:r w:rsidR="00E12242" w:rsidRPr="00AF33C0">
              <w:t xml:space="preserve"> </w:t>
            </w:r>
            <w:r w:rsidR="0000400C" w:rsidRPr="00AF33C0">
              <w:t>changing the land use designation for 38.22 acres of land from Office Industrial Park/Research &amp; Development to Residential (3.5-7.99 Dwelling Units per Acre), located between Forest Meadow Avenue and Woodmen Road</w:t>
            </w:r>
            <w:r w:rsidRPr="00AF33C0">
              <w:t>.</w:t>
            </w:r>
          </w:p>
          <w:p w:rsidR="00B450A6" w:rsidRPr="00AF33C0" w:rsidRDefault="00B450A6" w:rsidP="00BC3FF5">
            <w:pPr>
              <w:pStyle w:val="ListParagraph"/>
              <w:tabs>
                <w:tab w:val="left" w:pos="90"/>
              </w:tabs>
              <w:autoSpaceDE w:val="0"/>
              <w:autoSpaceDN w:val="0"/>
              <w:adjustRightInd w:val="0"/>
              <w:spacing w:before="44"/>
            </w:pPr>
          </w:p>
          <w:p w:rsidR="00705308" w:rsidRPr="00AF33C0" w:rsidRDefault="00B450A6" w:rsidP="0000400C">
            <w:pPr>
              <w:pStyle w:val="ListParagraph"/>
              <w:numPr>
                <w:ilvl w:val="0"/>
                <w:numId w:val="46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44"/>
            </w:pPr>
            <w:r w:rsidRPr="00AF33C0">
              <w:t xml:space="preserve">Forest </w:t>
            </w:r>
            <w:r w:rsidR="0000400C" w:rsidRPr="00AF33C0">
              <w:t>Meadows South PUD zone change for 38.22 acres of land from PUD/AO-CAD (Planning Unit Development with Airport Overlay – Commercial Airport District) to PUD/AO (Planning Unit Development with Airport Overlay: Townhouse and Two-Family Attached Dwellings, 7.99 dwelling units per acre, and 30-foot height maximum), located between Forest Meadow Avenue and Woodmen Road</w:t>
            </w:r>
            <w:r w:rsidRPr="00AF33C0">
              <w:t>.</w:t>
            </w:r>
          </w:p>
          <w:p w:rsidR="00B450A6" w:rsidRPr="00AF33C0" w:rsidRDefault="00B450A6" w:rsidP="00705308">
            <w:pPr>
              <w:pStyle w:val="ListParagraph"/>
              <w:rPr>
                <w:rFonts w:eastAsia="Times New Roman"/>
                <w:color w:val="000000"/>
                <w:kern w:val="2"/>
              </w:rPr>
            </w:pPr>
          </w:p>
          <w:p w:rsidR="00705308" w:rsidRPr="00AF33C0" w:rsidRDefault="00A54D5F" w:rsidP="00EB46D3">
            <w:pPr>
              <w:pStyle w:val="ListParagraph"/>
              <w:numPr>
                <w:ilvl w:val="0"/>
                <w:numId w:val="46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44"/>
              <w:rPr>
                <w:rFonts w:eastAsia="Times New Roman"/>
                <w:color w:val="000000"/>
                <w:kern w:val="2"/>
              </w:rPr>
            </w:pPr>
            <w:r w:rsidRPr="00AF33C0">
              <w:t xml:space="preserve">Forest </w:t>
            </w:r>
            <w:r w:rsidR="0000400C" w:rsidRPr="00AF33C0">
              <w:t>Meadows South concept plan illustrates a residential development scheme including approximately 24 acres of land with a maximum of 305 units within townhouses and two-family attached dwellings, and approximately 14 acres of land preserved as open space, located between Forest Meadow Avenue and Woodmen Road</w:t>
            </w:r>
          </w:p>
        </w:tc>
      </w:tr>
    </w:tbl>
    <w:p w:rsidR="00023D43" w:rsidRPr="00AF33C0" w:rsidRDefault="00023D43" w:rsidP="00EB46D3"/>
    <w:sectPr w:rsidR="00023D43" w:rsidRPr="00AF33C0" w:rsidSect="0076617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9D" w:rsidRDefault="00813B9D" w:rsidP="004A5158">
      <w:pPr>
        <w:spacing w:before="0"/>
      </w:pPr>
      <w:r>
        <w:separator/>
      </w:r>
    </w:p>
  </w:endnote>
  <w:endnote w:type="continuationSeparator" w:id="0">
    <w:p w:rsidR="00813B9D" w:rsidRDefault="00813B9D" w:rsidP="004A515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34620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A5158" w:rsidRDefault="004A5158" w:rsidP="004A5158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8C3" w:rsidRPr="008D08C3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  <w:p w:rsidR="004A5158" w:rsidRDefault="007229BE" w:rsidP="004A515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DATE \@ "M/d/yyyy h:mm am/pm" </w:instrText>
        </w:r>
        <w:r>
          <w:rPr>
            <w:b/>
            <w:bCs/>
          </w:rPr>
          <w:fldChar w:fldCharType="separate"/>
        </w:r>
        <w:r w:rsidR="008D08C3">
          <w:rPr>
            <w:b/>
            <w:bCs/>
            <w:noProof/>
          </w:rPr>
          <w:t>8/31/2016 1:43 PM</w:t>
        </w:r>
        <w:r>
          <w:rPr>
            <w:b/>
            <w:bCs/>
          </w:rPr>
          <w:fldChar w:fldCharType="end"/>
        </w:r>
      </w:p>
    </w:sdtContent>
  </w:sdt>
  <w:p w:rsidR="004A5158" w:rsidRDefault="004A51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9D" w:rsidRDefault="00813B9D" w:rsidP="004A5158">
      <w:pPr>
        <w:spacing w:before="0"/>
      </w:pPr>
      <w:r>
        <w:separator/>
      </w:r>
    </w:p>
  </w:footnote>
  <w:footnote w:type="continuationSeparator" w:id="0">
    <w:p w:rsidR="00813B9D" w:rsidRDefault="00813B9D" w:rsidP="004A515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E1" w:rsidRDefault="004D26E1" w:rsidP="00B450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578"/>
    <w:multiLevelType w:val="hybridMultilevel"/>
    <w:tmpl w:val="A6243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3800"/>
    <w:multiLevelType w:val="hybridMultilevel"/>
    <w:tmpl w:val="51FA3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57623"/>
    <w:multiLevelType w:val="hybridMultilevel"/>
    <w:tmpl w:val="C23E3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741B"/>
    <w:multiLevelType w:val="hybridMultilevel"/>
    <w:tmpl w:val="A74EE8D6"/>
    <w:lvl w:ilvl="0" w:tplc="F662BE2E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0E30DD0"/>
    <w:multiLevelType w:val="hybridMultilevel"/>
    <w:tmpl w:val="2B92E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63F66"/>
    <w:multiLevelType w:val="hybridMultilevel"/>
    <w:tmpl w:val="9DA67646"/>
    <w:lvl w:ilvl="0" w:tplc="FC3416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34B5126"/>
    <w:multiLevelType w:val="hybridMultilevel"/>
    <w:tmpl w:val="7D0479A2"/>
    <w:lvl w:ilvl="0" w:tplc="A822CE2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>
    <w:nsid w:val="158F51F2"/>
    <w:multiLevelType w:val="hybridMultilevel"/>
    <w:tmpl w:val="BAAC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14E3E"/>
    <w:multiLevelType w:val="hybridMultilevel"/>
    <w:tmpl w:val="172A0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24A4B"/>
    <w:multiLevelType w:val="hybridMultilevel"/>
    <w:tmpl w:val="FB929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D48D5"/>
    <w:multiLevelType w:val="hybridMultilevel"/>
    <w:tmpl w:val="B9B84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F6B93"/>
    <w:multiLevelType w:val="hybridMultilevel"/>
    <w:tmpl w:val="E736AE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6A5CE8"/>
    <w:multiLevelType w:val="hybridMultilevel"/>
    <w:tmpl w:val="C0A066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6F4E40"/>
    <w:multiLevelType w:val="hybridMultilevel"/>
    <w:tmpl w:val="9D1A7AE4"/>
    <w:lvl w:ilvl="0" w:tplc="1E1A44CE">
      <w:start w:val="1"/>
      <w:numFmt w:val="decimal"/>
      <w:lvlText w:val="%1."/>
      <w:lvlJc w:val="left"/>
      <w:pPr>
        <w:ind w:left="747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4">
    <w:nsid w:val="25DC3165"/>
    <w:multiLevelType w:val="hybridMultilevel"/>
    <w:tmpl w:val="64D24E4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285D3E27"/>
    <w:multiLevelType w:val="hybridMultilevel"/>
    <w:tmpl w:val="C32E4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A131F"/>
    <w:multiLevelType w:val="hybridMultilevel"/>
    <w:tmpl w:val="85CA3C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4268F7"/>
    <w:multiLevelType w:val="hybridMultilevel"/>
    <w:tmpl w:val="9EACABAE"/>
    <w:lvl w:ilvl="0" w:tplc="212C04D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2AE67CE1"/>
    <w:multiLevelType w:val="hybridMultilevel"/>
    <w:tmpl w:val="E7C64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D772C4"/>
    <w:multiLevelType w:val="hybridMultilevel"/>
    <w:tmpl w:val="F8B6F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F4C75"/>
    <w:multiLevelType w:val="hybridMultilevel"/>
    <w:tmpl w:val="D4D6A554"/>
    <w:lvl w:ilvl="0" w:tplc="36863C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51ECA"/>
    <w:multiLevelType w:val="hybridMultilevel"/>
    <w:tmpl w:val="B170A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D347A8"/>
    <w:multiLevelType w:val="hybridMultilevel"/>
    <w:tmpl w:val="6674D9BA"/>
    <w:lvl w:ilvl="0" w:tplc="64DE02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39792500"/>
    <w:multiLevelType w:val="hybridMultilevel"/>
    <w:tmpl w:val="704ED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671F9"/>
    <w:multiLevelType w:val="hybridMultilevel"/>
    <w:tmpl w:val="00762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AA4228"/>
    <w:multiLevelType w:val="hybridMultilevel"/>
    <w:tmpl w:val="593A6334"/>
    <w:lvl w:ilvl="0" w:tplc="2FC285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A54896"/>
    <w:multiLevelType w:val="hybridMultilevel"/>
    <w:tmpl w:val="FB929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9452E"/>
    <w:multiLevelType w:val="hybridMultilevel"/>
    <w:tmpl w:val="9BF6A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B48F5"/>
    <w:multiLevelType w:val="hybridMultilevel"/>
    <w:tmpl w:val="8B36F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25B26"/>
    <w:multiLevelType w:val="hybridMultilevel"/>
    <w:tmpl w:val="9CC4A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E554C2"/>
    <w:multiLevelType w:val="hybridMultilevel"/>
    <w:tmpl w:val="A61C2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E6657D"/>
    <w:multiLevelType w:val="hybridMultilevel"/>
    <w:tmpl w:val="3236C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D3BBD"/>
    <w:multiLevelType w:val="hybridMultilevel"/>
    <w:tmpl w:val="DAF46AD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A24441"/>
    <w:multiLevelType w:val="hybridMultilevel"/>
    <w:tmpl w:val="76F2B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16064"/>
    <w:multiLevelType w:val="hybridMultilevel"/>
    <w:tmpl w:val="17AC9696"/>
    <w:lvl w:ilvl="0" w:tplc="D1F40F9C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609C0F5A"/>
    <w:multiLevelType w:val="hybridMultilevel"/>
    <w:tmpl w:val="86BAEE06"/>
    <w:lvl w:ilvl="0" w:tplc="EB0A68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66E3672A"/>
    <w:multiLevelType w:val="hybridMultilevel"/>
    <w:tmpl w:val="D11EFE7A"/>
    <w:lvl w:ilvl="0" w:tplc="DCA43132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>
    <w:nsid w:val="67142F6F"/>
    <w:multiLevelType w:val="hybridMultilevel"/>
    <w:tmpl w:val="CA9A1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310515"/>
    <w:multiLevelType w:val="hybridMultilevel"/>
    <w:tmpl w:val="00AE8FD4"/>
    <w:lvl w:ilvl="0" w:tplc="DA2C62F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82D65E0"/>
    <w:multiLevelType w:val="hybridMultilevel"/>
    <w:tmpl w:val="528C28F6"/>
    <w:lvl w:ilvl="0" w:tplc="1AB263D4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>
    <w:nsid w:val="69052779"/>
    <w:multiLevelType w:val="hybridMultilevel"/>
    <w:tmpl w:val="8020D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070F4"/>
    <w:multiLevelType w:val="hybridMultilevel"/>
    <w:tmpl w:val="011CF99A"/>
    <w:lvl w:ilvl="0" w:tplc="0D70F5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>
    <w:nsid w:val="72BB3E52"/>
    <w:multiLevelType w:val="hybridMultilevel"/>
    <w:tmpl w:val="FB929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232C6"/>
    <w:multiLevelType w:val="hybridMultilevel"/>
    <w:tmpl w:val="A0D205A8"/>
    <w:lvl w:ilvl="0" w:tplc="5BCE562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1848EB"/>
    <w:multiLevelType w:val="hybridMultilevel"/>
    <w:tmpl w:val="C450C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636E2A"/>
    <w:multiLevelType w:val="hybridMultilevel"/>
    <w:tmpl w:val="82FA11DC"/>
    <w:lvl w:ilvl="0" w:tplc="0660EE8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6">
    <w:nsid w:val="7FF22C24"/>
    <w:multiLevelType w:val="hybridMultilevel"/>
    <w:tmpl w:val="A9860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21"/>
  </w:num>
  <w:num w:numId="4">
    <w:abstractNumId w:val="28"/>
  </w:num>
  <w:num w:numId="5">
    <w:abstractNumId w:val="38"/>
  </w:num>
  <w:num w:numId="6">
    <w:abstractNumId w:val="35"/>
  </w:num>
  <w:num w:numId="7">
    <w:abstractNumId w:val="33"/>
  </w:num>
  <w:num w:numId="8">
    <w:abstractNumId w:val="18"/>
  </w:num>
  <w:num w:numId="9">
    <w:abstractNumId w:val="7"/>
  </w:num>
  <w:num w:numId="10">
    <w:abstractNumId w:val="1"/>
  </w:num>
  <w:num w:numId="11">
    <w:abstractNumId w:val="42"/>
  </w:num>
  <w:num w:numId="12">
    <w:abstractNumId w:val="6"/>
  </w:num>
  <w:num w:numId="13">
    <w:abstractNumId w:val="9"/>
  </w:num>
  <w:num w:numId="14">
    <w:abstractNumId w:val="26"/>
  </w:num>
  <w:num w:numId="15">
    <w:abstractNumId w:val="41"/>
  </w:num>
  <w:num w:numId="16">
    <w:abstractNumId w:val="5"/>
  </w:num>
  <w:num w:numId="17">
    <w:abstractNumId w:val="13"/>
  </w:num>
  <w:num w:numId="18">
    <w:abstractNumId w:val="10"/>
  </w:num>
  <w:num w:numId="19">
    <w:abstractNumId w:val="37"/>
  </w:num>
  <w:num w:numId="20">
    <w:abstractNumId w:val="30"/>
  </w:num>
  <w:num w:numId="21">
    <w:abstractNumId w:val="17"/>
  </w:num>
  <w:num w:numId="22">
    <w:abstractNumId w:val="8"/>
  </w:num>
  <w:num w:numId="23">
    <w:abstractNumId w:val="29"/>
  </w:num>
  <w:num w:numId="24">
    <w:abstractNumId w:val="24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0"/>
  </w:num>
  <w:num w:numId="28">
    <w:abstractNumId w:val="45"/>
  </w:num>
  <w:num w:numId="29">
    <w:abstractNumId w:val="15"/>
  </w:num>
  <w:num w:numId="30">
    <w:abstractNumId w:val="19"/>
  </w:num>
  <w:num w:numId="31">
    <w:abstractNumId w:val="40"/>
  </w:num>
  <w:num w:numId="32">
    <w:abstractNumId w:val="46"/>
  </w:num>
  <w:num w:numId="33">
    <w:abstractNumId w:val="36"/>
  </w:num>
  <w:num w:numId="34">
    <w:abstractNumId w:val="34"/>
  </w:num>
  <w:num w:numId="35">
    <w:abstractNumId w:val="39"/>
  </w:num>
  <w:num w:numId="36">
    <w:abstractNumId w:val="22"/>
  </w:num>
  <w:num w:numId="37">
    <w:abstractNumId w:val="14"/>
  </w:num>
  <w:num w:numId="38">
    <w:abstractNumId w:val="27"/>
  </w:num>
  <w:num w:numId="39">
    <w:abstractNumId w:val="11"/>
  </w:num>
  <w:num w:numId="40">
    <w:abstractNumId w:val="20"/>
  </w:num>
  <w:num w:numId="41">
    <w:abstractNumId w:val="12"/>
  </w:num>
  <w:num w:numId="42">
    <w:abstractNumId w:val="16"/>
  </w:num>
  <w:num w:numId="43">
    <w:abstractNumId w:val="2"/>
  </w:num>
  <w:num w:numId="44">
    <w:abstractNumId w:val="44"/>
  </w:num>
  <w:num w:numId="45">
    <w:abstractNumId w:val="43"/>
  </w:num>
  <w:num w:numId="46">
    <w:abstractNumId w:val="3"/>
  </w:num>
  <w:num w:numId="47">
    <w:abstractNumId w:val="25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5B"/>
    <w:rsid w:val="0000400C"/>
    <w:rsid w:val="000058B2"/>
    <w:rsid w:val="00023D43"/>
    <w:rsid w:val="00024465"/>
    <w:rsid w:val="0003400F"/>
    <w:rsid w:val="00040016"/>
    <w:rsid w:val="00046624"/>
    <w:rsid w:val="00057431"/>
    <w:rsid w:val="00066C24"/>
    <w:rsid w:val="00075411"/>
    <w:rsid w:val="00083AD4"/>
    <w:rsid w:val="00090BF1"/>
    <w:rsid w:val="000B0C9C"/>
    <w:rsid w:val="000B4783"/>
    <w:rsid w:val="000C7B1A"/>
    <w:rsid w:val="000D24E6"/>
    <w:rsid w:val="000D4D27"/>
    <w:rsid w:val="000D72F9"/>
    <w:rsid w:val="000F3B86"/>
    <w:rsid w:val="00102029"/>
    <w:rsid w:val="00110E92"/>
    <w:rsid w:val="0012590F"/>
    <w:rsid w:val="001300D5"/>
    <w:rsid w:val="00155975"/>
    <w:rsid w:val="00157175"/>
    <w:rsid w:val="0016619C"/>
    <w:rsid w:val="00184778"/>
    <w:rsid w:val="001B528E"/>
    <w:rsid w:val="001C709B"/>
    <w:rsid w:val="001D399A"/>
    <w:rsid w:val="001D6E57"/>
    <w:rsid w:val="001E048E"/>
    <w:rsid w:val="001E07FE"/>
    <w:rsid w:val="001E56A0"/>
    <w:rsid w:val="0020264A"/>
    <w:rsid w:val="00256F5B"/>
    <w:rsid w:val="00261C35"/>
    <w:rsid w:val="00272D1D"/>
    <w:rsid w:val="002842BE"/>
    <w:rsid w:val="002865DD"/>
    <w:rsid w:val="002A499F"/>
    <w:rsid w:val="002B4A4E"/>
    <w:rsid w:val="002B7E4A"/>
    <w:rsid w:val="002C252D"/>
    <w:rsid w:val="002C42B7"/>
    <w:rsid w:val="002C5583"/>
    <w:rsid w:val="002D305C"/>
    <w:rsid w:val="002D4F28"/>
    <w:rsid w:val="002D7DF8"/>
    <w:rsid w:val="002E2B55"/>
    <w:rsid w:val="002E70B3"/>
    <w:rsid w:val="00300D24"/>
    <w:rsid w:val="0030452F"/>
    <w:rsid w:val="00305A3E"/>
    <w:rsid w:val="003328BE"/>
    <w:rsid w:val="003376D9"/>
    <w:rsid w:val="00366B4C"/>
    <w:rsid w:val="00367667"/>
    <w:rsid w:val="00391E4B"/>
    <w:rsid w:val="003A1583"/>
    <w:rsid w:val="003A4F6A"/>
    <w:rsid w:val="003D00AE"/>
    <w:rsid w:val="003D2EC9"/>
    <w:rsid w:val="003D5072"/>
    <w:rsid w:val="003D7B2D"/>
    <w:rsid w:val="003F3BA1"/>
    <w:rsid w:val="00437538"/>
    <w:rsid w:val="00463B0E"/>
    <w:rsid w:val="00480E33"/>
    <w:rsid w:val="00493424"/>
    <w:rsid w:val="0049581C"/>
    <w:rsid w:val="004A5158"/>
    <w:rsid w:val="004B4BDA"/>
    <w:rsid w:val="004C71CF"/>
    <w:rsid w:val="004D26E1"/>
    <w:rsid w:val="004D69A5"/>
    <w:rsid w:val="004E174F"/>
    <w:rsid w:val="004E3CF3"/>
    <w:rsid w:val="004E7624"/>
    <w:rsid w:val="0055026C"/>
    <w:rsid w:val="00552CA9"/>
    <w:rsid w:val="00582BC4"/>
    <w:rsid w:val="005833A9"/>
    <w:rsid w:val="00585194"/>
    <w:rsid w:val="00590044"/>
    <w:rsid w:val="005950D3"/>
    <w:rsid w:val="005A302E"/>
    <w:rsid w:val="005B607F"/>
    <w:rsid w:val="005C2F0E"/>
    <w:rsid w:val="005C4791"/>
    <w:rsid w:val="005E139A"/>
    <w:rsid w:val="005F6CC6"/>
    <w:rsid w:val="005F7DEC"/>
    <w:rsid w:val="00606B8C"/>
    <w:rsid w:val="00610A3A"/>
    <w:rsid w:val="0063341C"/>
    <w:rsid w:val="006634DA"/>
    <w:rsid w:val="00696D52"/>
    <w:rsid w:val="006A7012"/>
    <w:rsid w:val="006B5A87"/>
    <w:rsid w:val="006C2A4C"/>
    <w:rsid w:val="006D167D"/>
    <w:rsid w:val="006D40AE"/>
    <w:rsid w:val="006D496B"/>
    <w:rsid w:val="006D7F04"/>
    <w:rsid w:val="006E2AE9"/>
    <w:rsid w:val="006F2009"/>
    <w:rsid w:val="00702818"/>
    <w:rsid w:val="00704DC0"/>
    <w:rsid w:val="00705308"/>
    <w:rsid w:val="007229BE"/>
    <w:rsid w:val="00746995"/>
    <w:rsid w:val="007479B5"/>
    <w:rsid w:val="007579E7"/>
    <w:rsid w:val="0076278D"/>
    <w:rsid w:val="0076617D"/>
    <w:rsid w:val="007875E2"/>
    <w:rsid w:val="007A6E83"/>
    <w:rsid w:val="007B2078"/>
    <w:rsid w:val="007F0689"/>
    <w:rsid w:val="007F08E9"/>
    <w:rsid w:val="00813B9D"/>
    <w:rsid w:val="00815BE5"/>
    <w:rsid w:val="00842DDB"/>
    <w:rsid w:val="00854438"/>
    <w:rsid w:val="00863D5D"/>
    <w:rsid w:val="00866790"/>
    <w:rsid w:val="00885517"/>
    <w:rsid w:val="008D08C3"/>
    <w:rsid w:val="008E1C80"/>
    <w:rsid w:val="008E33B0"/>
    <w:rsid w:val="008E6B67"/>
    <w:rsid w:val="00902668"/>
    <w:rsid w:val="00904FDA"/>
    <w:rsid w:val="00912CE4"/>
    <w:rsid w:val="00934088"/>
    <w:rsid w:val="00943EC2"/>
    <w:rsid w:val="0095721A"/>
    <w:rsid w:val="009607FF"/>
    <w:rsid w:val="00974BB0"/>
    <w:rsid w:val="009831BC"/>
    <w:rsid w:val="009A0C62"/>
    <w:rsid w:val="009A305E"/>
    <w:rsid w:val="009B1174"/>
    <w:rsid w:val="009C582C"/>
    <w:rsid w:val="009D78A8"/>
    <w:rsid w:val="009F267C"/>
    <w:rsid w:val="00A0024B"/>
    <w:rsid w:val="00A46B7D"/>
    <w:rsid w:val="00A54D5F"/>
    <w:rsid w:val="00A8482B"/>
    <w:rsid w:val="00A84F83"/>
    <w:rsid w:val="00AC09A5"/>
    <w:rsid w:val="00AC1BD6"/>
    <w:rsid w:val="00AE3CA9"/>
    <w:rsid w:val="00AF33C0"/>
    <w:rsid w:val="00AF524C"/>
    <w:rsid w:val="00B0090D"/>
    <w:rsid w:val="00B00ED2"/>
    <w:rsid w:val="00B02B35"/>
    <w:rsid w:val="00B04AAD"/>
    <w:rsid w:val="00B05008"/>
    <w:rsid w:val="00B06067"/>
    <w:rsid w:val="00B16E34"/>
    <w:rsid w:val="00B24632"/>
    <w:rsid w:val="00B331B7"/>
    <w:rsid w:val="00B450A6"/>
    <w:rsid w:val="00B551CA"/>
    <w:rsid w:val="00B66B19"/>
    <w:rsid w:val="00B8222E"/>
    <w:rsid w:val="00B9310B"/>
    <w:rsid w:val="00B97917"/>
    <w:rsid w:val="00BB321E"/>
    <w:rsid w:val="00BB712E"/>
    <w:rsid w:val="00BC2A34"/>
    <w:rsid w:val="00BC3FF5"/>
    <w:rsid w:val="00BE475E"/>
    <w:rsid w:val="00BF306F"/>
    <w:rsid w:val="00C01309"/>
    <w:rsid w:val="00C10117"/>
    <w:rsid w:val="00C21305"/>
    <w:rsid w:val="00C316A5"/>
    <w:rsid w:val="00C44E57"/>
    <w:rsid w:val="00C503B6"/>
    <w:rsid w:val="00C50CD8"/>
    <w:rsid w:val="00C74D32"/>
    <w:rsid w:val="00C80F3E"/>
    <w:rsid w:val="00C844F9"/>
    <w:rsid w:val="00C874AF"/>
    <w:rsid w:val="00C97F05"/>
    <w:rsid w:val="00CA4C10"/>
    <w:rsid w:val="00CA575D"/>
    <w:rsid w:val="00CB053C"/>
    <w:rsid w:val="00CC55EE"/>
    <w:rsid w:val="00CD6496"/>
    <w:rsid w:val="00CD6555"/>
    <w:rsid w:val="00CD74A8"/>
    <w:rsid w:val="00D0631F"/>
    <w:rsid w:val="00D10847"/>
    <w:rsid w:val="00D155BF"/>
    <w:rsid w:val="00D317F2"/>
    <w:rsid w:val="00D338FB"/>
    <w:rsid w:val="00D4510D"/>
    <w:rsid w:val="00D55CA9"/>
    <w:rsid w:val="00D635D1"/>
    <w:rsid w:val="00D93996"/>
    <w:rsid w:val="00DB09FA"/>
    <w:rsid w:val="00DB2252"/>
    <w:rsid w:val="00DB3DF0"/>
    <w:rsid w:val="00DB66F0"/>
    <w:rsid w:val="00DD35AF"/>
    <w:rsid w:val="00DD45C9"/>
    <w:rsid w:val="00DD5289"/>
    <w:rsid w:val="00DD5835"/>
    <w:rsid w:val="00DE1259"/>
    <w:rsid w:val="00DF5D4C"/>
    <w:rsid w:val="00E079EE"/>
    <w:rsid w:val="00E12242"/>
    <w:rsid w:val="00E26147"/>
    <w:rsid w:val="00E70448"/>
    <w:rsid w:val="00E70608"/>
    <w:rsid w:val="00E720FE"/>
    <w:rsid w:val="00E83223"/>
    <w:rsid w:val="00E871D4"/>
    <w:rsid w:val="00E87DB2"/>
    <w:rsid w:val="00EA088A"/>
    <w:rsid w:val="00EA1814"/>
    <w:rsid w:val="00EA4C58"/>
    <w:rsid w:val="00EB46D3"/>
    <w:rsid w:val="00EB51D8"/>
    <w:rsid w:val="00EC0F24"/>
    <w:rsid w:val="00ED374E"/>
    <w:rsid w:val="00EE47DD"/>
    <w:rsid w:val="00F114A6"/>
    <w:rsid w:val="00F35AE3"/>
    <w:rsid w:val="00F55637"/>
    <w:rsid w:val="00F6559E"/>
    <w:rsid w:val="00F6719E"/>
    <w:rsid w:val="00FA066E"/>
    <w:rsid w:val="00FA55BF"/>
    <w:rsid w:val="00FE033F"/>
    <w:rsid w:val="00FE2E99"/>
    <w:rsid w:val="00FE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5B"/>
    <w:pPr>
      <w:spacing w:before="120"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F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6F5B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F5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56F5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75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515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A5158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A515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A515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5B"/>
    <w:pPr>
      <w:spacing w:before="120"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F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6F5B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F5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56F5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75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515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A5158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A515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A515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oradosprings.legistar.com/Calendar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Hurst, Cynthia</dc:creator>
  <cp:lastModifiedBy>Hurst, Cynthia</cp:lastModifiedBy>
  <cp:revision>30</cp:revision>
  <cp:lastPrinted>2016-08-03T18:16:00Z</cp:lastPrinted>
  <dcterms:created xsi:type="dcterms:W3CDTF">2016-08-26T20:44:00Z</dcterms:created>
  <dcterms:modified xsi:type="dcterms:W3CDTF">2016-08-31T19:44:00Z</dcterms:modified>
</cp:coreProperties>
</file>